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45B" w:rsidRPr="00480784" w:rsidRDefault="00722523" w:rsidP="00722523">
      <w:pPr>
        <w:jc w:val="center"/>
        <w:rPr>
          <w:rFonts w:ascii="Rockwell" w:hAnsi="Rockwell"/>
          <w:b/>
          <w:sz w:val="24"/>
          <w:szCs w:val="24"/>
        </w:rPr>
      </w:pPr>
      <w:r w:rsidRPr="00480784">
        <w:rPr>
          <w:rFonts w:ascii="Rockwell" w:hAnsi="Rockwell"/>
          <w:b/>
          <w:sz w:val="24"/>
          <w:szCs w:val="24"/>
        </w:rPr>
        <w:t xml:space="preserve">Scotland’s Commissioner for Children and Young People: </w:t>
      </w:r>
      <w:r w:rsidR="00604FF0" w:rsidRPr="00480784">
        <w:rPr>
          <w:rFonts w:ascii="Rockwell" w:hAnsi="Rockwell"/>
          <w:b/>
          <w:sz w:val="24"/>
          <w:szCs w:val="24"/>
        </w:rPr>
        <w:t xml:space="preserve">Disability Workstream Review, </w:t>
      </w:r>
      <w:r w:rsidR="00732D1A" w:rsidRPr="00480784">
        <w:rPr>
          <w:rFonts w:ascii="Rockwell" w:hAnsi="Rockwell"/>
          <w:b/>
          <w:sz w:val="24"/>
          <w:szCs w:val="24"/>
        </w:rPr>
        <w:t>January 2014</w:t>
      </w:r>
    </w:p>
    <w:p w:rsidR="00732D1A" w:rsidRPr="00480784" w:rsidRDefault="00480784" w:rsidP="00722523">
      <w:pPr>
        <w:ind w:left="-1134"/>
        <w:rPr>
          <w:rFonts w:ascii="Rockwell" w:hAnsi="Rockwell" w:cstheme="minorHAnsi"/>
          <w:i/>
          <w:sz w:val="16"/>
          <w:szCs w:val="16"/>
        </w:rPr>
      </w:pPr>
      <w:r w:rsidRPr="00480784">
        <w:rPr>
          <w:rFonts w:ascii="Rockwell" w:hAnsi="Rockwell" w:cstheme="minorHAnsi"/>
          <w:i/>
          <w:sz w:val="16"/>
          <w:szCs w:val="16"/>
        </w:rPr>
        <w:t xml:space="preserve">Please fill in the final column of the table where possible. </w:t>
      </w:r>
      <w:r w:rsidR="00232C50">
        <w:rPr>
          <w:rFonts w:ascii="Rockwell" w:hAnsi="Rockwell" w:cstheme="minorHAnsi"/>
          <w:i/>
          <w:sz w:val="16"/>
          <w:szCs w:val="16"/>
        </w:rPr>
        <w:t>Recommendations are from SCCYP reports</w:t>
      </w:r>
      <w:r w:rsidR="009E76CF" w:rsidRPr="00480784">
        <w:rPr>
          <w:rStyle w:val="EndnoteReference"/>
          <w:rFonts w:ascii="Rockwell" w:hAnsi="Rockwell" w:cstheme="minorHAnsi"/>
          <w:b/>
          <w:sz w:val="16"/>
          <w:szCs w:val="16"/>
        </w:rPr>
        <w:endnoteReference w:id="1"/>
      </w:r>
      <w:r w:rsidR="009E76CF">
        <w:rPr>
          <w:rFonts w:ascii="Rockwell" w:hAnsi="Rockwell" w:cstheme="minorHAnsi"/>
          <w:i/>
          <w:sz w:val="16"/>
          <w:szCs w:val="16"/>
        </w:rPr>
        <w:t xml:space="preserve"> </w:t>
      </w:r>
      <w:r w:rsidR="00232C50">
        <w:rPr>
          <w:rFonts w:ascii="Rockwell" w:hAnsi="Rockwell" w:cstheme="minorHAnsi"/>
          <w:i/>
          <w:sz w:val="16"/>
          <w:szCs w:val="16"/>
        </w:rPr>
        <w:t xml:space="preserve">unless otherwise indicated. </w:t>
      </w:r>
      <w:r w:rsidR="00722523" w:rsidRPr="00480784">
        <w:rPr>
          <w:rFonts w:ascii="Rockwell" w:hAnsi="Rockwell" w:cstheme="minorHAnsi"/>
          <w:i/>
          <w:sz w:val="16"/>
          <w:szCs w:val="16"/>
        </w:rPr>
        <w:t xml:space="preserve">For information, </w:t>
      </w:r>
      <w:r w:rsidR="00732D1A" w:rsidRPr="00480784">
        <w:rPr>
          <w:rFonts w:ascii="Rockwell" w:hAnsi="Rockwell" w:cstheme="minorHAnsi"/>
          <w:i/>
          <w:sz w:val="16"/>
          <w:szCs w:val="16"/>
        </w:rPr>
        <w:t>CYP</w:t>
      </w:r>
      <w:r w:rsidR="00722523" w:rsidRPr="00480784">
        <w:rPr>
          <w:rFonts w:ascii="Rockwell" w:hAnsi="Rockwell" w:cstheme="minorHAnsi"/>
          <w:i/>
          <w:sz w:val="16"/>
          <w:szCs w:val="16"/>
        </w:rPr>
        <w:t xml:space="preserve"> refers to </w:t>
      </w:r>
      <w:r w:rsidR="00732D1A" w:rsidRPr="00480784">
        <w:rPr>
          <w:rFonts w:ascii="Rockwell" w:hAnsi="Rockwell" w:cstheme="minorHAnsi"/>
          <w:i/>
          <w:sz w:val="16"/>
          <w:szCs w:val="16"/>
        </w:rPr>
        <w:t>Children and Young People</w:t>
      </w:r>
      <w:r w:rsidR="00722523" w:rsidRPr="00480784">
        <w:rPr>
          <w:rFonts w:ascii="Rockwell" w:hAnsi="Rockwell" w:cstheme="minorHAnsi"/>
          <w:i/>
          <w:sz w:val="16"/>
          <w:szCs w:val="16"/>
        </w:rPr>
        <w:t xml:space="preserve"> and LAs to </w:t>
      </w:r>
      <w:r w:rsidR="00732D1A" w:rsidRPr="00480784">
        <w:rPr>
          <w:rFonts w:ascii="Rockwell" w:hAnsi="Rockwell" w:cstheme="minorHAnsi"/>
          <w:i/>
          <w:sz w:val="16"/>
          <w:szCs w:val="16"/>
        </w:rPr>
        <w:t>Local Authorities</w:t>
      </w:r>
      <w:r w:rsidR="00722523" w:rsidRPr="00480784">
        <w:rPr>
          <w:rFonts w:ascii="Rockwell" w:hAnsi="Rockwell" w:cstheme="minorHAnsi"/>
          <w:i/>
          <w:sz w:val="16"/>
          <w:szCs w:val="16"/>
        </w:rPr>
        <w:t xml:space="preserve">. The first box in the </w:t>
      </w:r>
      <w:r w:rsidRPr="00480784">
        <w:rPr>
          <w:rFonts w:ascii="Rockwell" w:hAnsi="Rockwell" w:cstheme="minorHAnsi"/>
          <w:i/>
          <w:sz w:val="16"/>
          <w:szCs w:val="16"/>
        </w:rPr>
        <w:t>last</w:t>
      </w:r>
      <w:r w:rsidR="00722523" w:rsidRPr="00480784">
        <w:rPr>
          <w:rFonts w:ascii="Rockwell" w:hAnsi="Rockwell" w:cstheme="minorHAnsi"/>
          <w:i/>
          <w:sz w:val="16"/>
          <w:szCs w:val="16"/>
        </w:rPr>
        <w:t xml:space="preserve"> column is filled in as an example.</w:t>
      </w:r>
    </w:p>
    <w:tbl>
      <w:tblPr>
        <w:tblStyle w:val="TableGrid"/>
        <w:tblW w:w="16444" w:type="dxa"/>
        <w:tblInd w:w="-11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tblPr>
      <w:tblGrid>
        <w:gridCol w:w="994"/>
        <w:gridCol w:w="4110"/>
        <w:gridCol w:w="3543"/>
        <w:gridCol w:w="3402"/>
        <w:gridCol w:w="4395"/>
      </w:tblGrid>
      <w:tr w:rsidR="006B4143" w:rsidRPr="00480784" w:rsidTr="006B4143">
        <w:trPr>
          <w:trHeight w:val="396"/>
          <w:tblHeader/>
        </w:trPr>
        <w:tc>
          <w:tcPr>
            <w:tcW w:w="994" w:type="dxa"/>
            <w:tcBorders>
              <w:bottom w:val="single" w:sz="12" w:space="0" w:color="002060"/>
            </w:tcBorders>
            <w:shd w:val="clear" w:color="auto" w:fill="002060"/>
            <w:vAlign w:val="center"/>
          </w:tcPr>
          <w:p w:rsidR="00EF7D80" w:rsidRPr="00480784" w:rsidRDefault="00EF7D80" w:rsidP="00C01C6C">
            <w:pPr>
              <w:spacing w:beforeLines="30" w:afterLines="30"/>
              <w:jc w:val="center"/>
              <w:rPr>
                <w:rFonts w:ascii="Rockwell" w:hAnsi="Rockwell" w:cstheme="minorHAnsi"/>
                <w:i/>
                <w:sz w:val="16"/>
                <w:szCs w:val="16"/>
              </w:rPr>
            </w:pPr>
            <w:r w:rsidRPr="00480784">
              <w:rPr>
                <w:rFonts w:ascii="Rockwell" w:hAnsi="Rockwell" w:cstheme="minorHAnsi"/>
                <w:b/>
                <w:i/>
                <w:sz w:val="16"/>
                <w:szCs w:val="16"/>
              </w:rPr>
              <w:t>Topic</w:t>
            </w:r>
          </w:p>
        </w:tc>
        <w:tc>
          <w:tcPr>
            <w:tcW w:w="4110" w:type="dxa"/>
            <w:tcBorders>
              <w:bottom w:val="single" w:sz="12" w:space="0" w:color="002060"/>
            </w:tcBorders>
            <w:shd w:val="clear" w:color="auto" w:fill="002060"/>
            <w:vAlign w:val="center"/>
          </w:tcPr>
          <w:p w:rsidR="00EF7D80" w:rsidRPr="00480784" w:rsidRDefault="00EF7D80" w:rsidP="00C01C6C">
            <w:pPr>
              <w:spacing w:beforeLines="30" w:afterLines="30"/>
              <w:jc w:val="center"/>
              <w:rPr>
                <w:rFonts w:ascii="Rockwell" w:hAnsi="Rockwell" w:cstheme="minorHAnsi"/>
                <w:sz w:val="16"/>
                <w:szCs w:val="16"/>
              </w:rPr>
            </w:pPr>
            <w:r w:rsidRPr="00480784">
              <w:rPr>
                <w:rFonts w:ascii="Rockwell" w:hAnsi="Rockwell" w:cstheme="minorHAnsi"/>
                <w:b/>
                <w:i/>
                <w:sz w:val="16"/>
                <w:szCs w:val="16"/>
              </w:rPr>
              <w:t>Recommendations for Scotland’s Commissioner for Child</w:t>
            </w:r>
            <w:r w:rsidR="00232C50">
              <w:rPr>
                <w:rFonts w:ascii="Rockwell" w:hAnsi="Rockwell" w:cstheme="minorHAnsi"/>
                <w:b/>
                <w:i/>
                <w:sz w:val="16"/>
                <w:szCs w:val="16"/>
              </w:rPr>
              <w:t>ren and Young People and others</w:t>
            </w:r>
            <w:r w:rsidRPr="00480784">
              <w:rPr>
                <w:rFonts w:ascii="Rockwell" w:hAnsi="Rockwell" w:cstheme="minorHAnsi"/>
                <w:b/>
                <w:i/>
                <w:sz w:val="16"/>
                <w:szCs w:val="16"/>
              </w:rPr>
              <w:t xml:space="preserve"> </w:t>
            </w:r>
          </w:p>
        </w:tc>
        <w:tc>
          <w:tcPr>
            <w:tcW w:w="3543" w:type="dxa"/>
            <w:tcBorders>
              <w:bottom w:val="single" w:sz="12" w:space="0" w:color="002060"/>
            </w:tcBorders>
            <w:shd w:val="clear" w:color="auto" w:fill="002060"/>
            <w:vAlign w:val="center"/>
          </w:tcPr>
          <w:p w:rsidR="00EF7D80" w:rsidRPr="00480784" w:rsidRDefault="00EF7D80" w:rsidP="00C01C6C">
            <w:pPr>
              <w:spacing w:beforeLines="30" w:afterLines="30"/>
              <w:jc w:val="center"/>
              <w:rPr>
                <w:rFonts w:ascii="Rockwell" w:hAnsi="Rockwell" w:cstheme="minorHAnsi"/>
                <w:sz w:val="16"/>
                <w:szCs w:val="16"/>
              </w:rPr>
            </w:pPr>
            <w:r w:rsidRPr="00480784">
              <w:rPr>
                <w:rFonts w:ascii="Rockwell" w:hAnsi="Rockwell" w:cstheme="minorHAnsi"/>
                <w:b/>
                <w:i/>
                <w:sz w:val="16"/>
                <w:szCs w:val="16"/>
              </w:rPr>
              <w:t>Recommendations from disabled CYP &amp; their families</w:t>
            </w:r>
          </w:p>
        </w:tc>
        <w:tc>
          <w:tcPr>
            <w:tcW w:w="3402" w:type="dxa"/>
            <w:tcBorders>
              <w:bottom w:val="single" w:sz="12" w:space="0" w:color="002060"/>
            </w:tcBorders>
            <w:shd w:val="clear" w:color="auto" w:fill="002060"/>
          </w:tcPr>
          <w:p w:rsidR="00EF7D80" w:rsidRPr="00232C50" w:rsidRDefault="00EF7D80" w:rsidP="00C01C6C">
            <w:pPr>
              <w:spacing w:beforeLines="30" w:afterLines="30"/>
              <w:jc w:val="center"/>
              <w:rPr>
                <w:rFonts w:ascii="Rockwell" w:hAnsi="Rockwell" w:cstheme="minorHAnsi"/>
                <w:b/>
                <w:i/>
                <w:sz w:val="16"/>
                <w:szCs w:val="16"/>
              </w:rPr>
            </w:pPr>
            <w:r w:rsidRPr="00232C50">
              <w:rPr>
                <w:rFonts w:ascii="Rockwell" w:hAnsi="Rockwell" w:cstheme="minorHAnsi"/>
                <w:b/>
                <w:i/>
                <w:sz w:val="16"/>
                <w:szCs w:val="16"/>
              </w:rPr>
              <w:t>Recommendations for Local Authorities</w:t>
            </w:r>
          </w:p>
        </w:tc>
        <w:tc>
          <w:tcPr>
            <w:tcW w:w="4395" w:type="dxa"/>
            <w:tcBorders>
              <w:bottom w:val="single" w:sz="12" w:space="0" w:color="002060"/>
            </w:tcBorders>
            <w:shd w:val="clear" w:color="auto" w:fill="002060"/>
            <w:vAlign w:val="center"/>
          </w:tcPr>
          <w:p w:rsidR="00EF7D80" w:rsidRPr="00480784" w:rsidRDefault="00EF7D80" w:rsidP="00C01C6C">
            <w:pPr>
              <w:spacing w:beforeLines="30" w:afterLines="30"/>
              <w:jc w:val="center"/>
              <w:rPr>
                <w:rFonts w:ascii="Rockwell" w:hAnsi="Rockwell" w:cstheme="minorHAnsi"/>
                <w:i/>
                <w:sz w:val="16"/>
                <w:szCs w:val="16"/>
              </w:rPr>
            </w:pPr>
            <w:r w:rsidRPr="00480784">
              <w:rPr>
                <w:rFonts w:ascii="Rockwell" w:hAnsi="Rockwell" w:cstheme="minorHAnsi"/>
                <w:b/>
                <w:i/>
                <w:sz w:val="16"/>
                <w:szCs w:val="16"/>
              </w:rPr>
              <w:t>Ongoing/ current work in this area</w:t>
            </w:r>
          </w:p>
        </w:tc>
      </w:tr>
      <w:tr w:rsidR="00EF7D80" w:rsidRPr="00480784" w:rsidTr="00EF7D80">
        <w:trPr>
          <w:trHeight w:val="327"/>
        </w:trPr>
        <w:tc>
          <w:tcPr>
            <w:tcW w:w="16444" w:type="dxa"/>
            <w:gridSpan w:val="5"/>
            <w:tcBorders>
              <w:top w:val="single" w:sz="12" w:space="0" w:color="002060"/>
              <w:bottom w:val="single" w:sz="12" w:space="0" w:color="002060"/>
            </w:tcBorders>
            <w:shd w:val="clear" w:color="auto" w:fill="F3FAFF"/>
          </w:tcPr>
          <w:p w:rsidR="00EF7D80" w:rsidRPr="00480784" w:rsidRDefault="00EF7D80" w:rsidP="00C01C6C">
            <w:pPr>
              <w:spacing w:beforeLines="30" w:afterLines="30"/>
              <w:jc w:val="center"/>
              <w:rPr>
                <w:rFonts w:ascii="Rockwell" w:hAnsi="Rockwell" w:cstheme="minorHAnsi"/>
                <w:sz w:val="16"/>
                <w:szCs w:val="16"/>
              </w:rPr>
            </w:pPr>
            <w:r w:rsidRPr="00480784">
              <w:rPr>
                <w:rFonts w:ascii="Rockwell" w:eastAsia="Times New Roman" w:hAnsi="Rockwell" w:cstheme="minorHAnsi"/>
                <w:b/>
                <w:i/>
                <w:sz w:val="18"/>
                <w:szCs w:val="18"/>
                <w:lang w:eastAsia="en-GB"/>
              </w:rPr>
              <w:t xml:space="preserve">Theme: </w:t>
            </w:r>
            <w:r w:rsidRPr="00480784">
              <w:rPr>
                <w:rFonts w:ascii="Rockwell" w:hAnsi="Rockwell" w:cstheme="minorHAnsi"/>
                <w:b/>
                <w:i/>
                <w:sz w:val="18"/>
                <w:szCs w:val="18"/>
              </w:rPr>
              <w:t>Communication and Accountability</w:t>
            </w:r>
          </w:p>
        </w:tc>
      </w:tr>
      <w:tr w:rsidR="006B4143" w:rsidRPr="00480784" w:rsidTr="006B4143">
        <w:trPr>
          <w:trHeight w:val="1604"/>
        </w:trPr>
        <w:tc>
          <w:tcPr>
            <w:tcW w:w="994" w:type="dxa"/>
            <w:tcBorders>
              <w:top w:val="single" w:sz="12" w:space="0" w:color="002060"/>
            </w:tcBorders>
            <w:vAlign w:val="center"/>
          </w:tcPr>
          <w:p w:rsidR="00EF7D80" w:rsidRPr="00480784" w:rsidRDefault="00EF7D80" w:rsidP="00C01C6C">
            <w:pPr>
              <w:spacing w:beforeLines="30" w:afterLines="30"/>
              <w:jc w:val="center"/>
              <w:rPr>
                <w:rFonts w:ascii="Rockwell" w:hAnsi="Rockwell" w:cstheme="minorHAnsi"/>
                <w:i/>
                <w:sz w:val="16"/>
                <w:szCs w:val="16"/>
              </w:rPr>
            </w:pPr>
            <w:r w:rsidRPr="00480784">
              <w:rPr>
                <w:rFonts w:ascii="Rockwell" w:hAnsi="Rockwell" w:cstheme="minorHAnsi"/>
                <w:i/>
                <w:sz w:val="16"/>
                <w:szCs w:val="16"/>
              </w:rPr>
              <w:t>Listening to CYP &amp; their families</w:t>
            </w:r>
          </w:p>
        </w:tc>
        <w:tc>
          <w:tcPr>
            <w:tcW w:w="4110" w:type="dxa"/>
            <w:tcBorders>
              <w:top w:val="single" w:sz="12" w:space="0" w:color="002060"/>
            </w:tcBorders>
            <w:vAlign w:val="center"/>
          </w:tcPr>
          <w:p w:rsidR="00EF7D80" w:rsidRPr="00480784" w:rsidRDefault="00EF7D80" w:rsidP="00C01C6C">
            <w:pPr>
              <w:pStyle w:val="ListParagraph"/>
              <w:numPr>
                <w:ilvl w:val="0"/>
                <w:numId w:val="21"/>
              </w:numPr>
              <w:spacing w:beforeLines="30" w:afterLines="30"/>
              <w:ind w:left="174" w:hanging="174"/>
              <w:rPr>
                <w:rFonts w:ascii="Rockwell" w:hAnsi="Rockwell" w:cstheme="minorHAnsi"/>
                <w:sz w:val="16"/>
                <w:szCs w:val="16"/>
              </w:rPr>
            </w:pPr>
            <w:r w:rsidRPr="00480784">
              <w:rPr>
                <w:rFonts w:ascii="Rockwell" w:hAnsi="Rockwell" w:cstheme="minorHAnsi"/>
                <w:sz w:val="16"/>
                <w:szCs w:val="16"/>
              </w:rPr>
              <w:t>Set up a national young disabled people’s forum.</w:t>
            </w:r>
          </w:p>
          <w:p w:rsidR="00EF7D80" w:rsidRPr="00480784" w:rsidRDefault="00EF7D80" w:rsidP="00C01C6C">
            <w:pPr>
              <w:pStyle w:val="ListParagraph"/>
              <w:numPr>
                <w:ilvl w:val="0"/>
                <w:numId w:val="21"/>
              </w:numPr>
              <w:spacing w:beforeLines="30" w:afterLines="30"/>
              <w:ind w:left="174" w:hanging="174"/>
              <w:rPr>
                <w:rFonts w:ascii="Rockwell" w:hAnsi="Rockwell" w:cstheme="minorHAnsi"/>
                <w:sz w:val="16"/>
                <w:szCs w:val="16"/>
              </w:rPr>
            </w:pPr>
            <w:r w:rsidRPr="00480784">
              <w:rPr>
                <w:rFonts w:ascii="Rockwell" w:hAnsi="Rockwell" w:cstheme="minorHAnsi"/>
                <w:sz w:val="16"/>
                <w:szCs w:val="16"/>
              </w:rPr>
              <w:t xml:space="preserve">Ensure that mainstream CYP forums include more disabled children. </w:t>
            </w:r>
          </w:p>
          <w:p w:rsidR="00EF7D80" w:rsidRPr="00480784" w:rsidRDefault="00EF7D80" w:rsidP="00C01C6C">
            <w:pPr>
              <w:pStyle w:val="ListParagraph"/>
              <w:numPr>
                <w:ilvl w:val="0"/>
                <w:numId w:val="21"/>
              </w:numPr>
              <w:spacing w:beforeLines="30" w:afterLines="30"/>
              <w:ind w:left="174" w:hanging="174"/>
              <w:rPr>
                <w:rFonts w:ascii="Rockwell" w:hAnsi="Rockwell" w:cstheme="minorHAnsi"/>
                <w:sz w:val="16"/>
                <w:szCs w:val="16"/>
              </w:rPr>
            </w:pPr>
            <w:r w:rsidRPr="00480784">
              <w:rPr>
                <w:rFonts w:ascii="Rockwell" w:hAnsi="Rockwell" w:cstheme="minorHAnsi"/>
                <w:sz w:val="16"/>
                <w:szCs w:val="16"/>
              </w:rPr>
              <w:t>Develop and promote independent advocacy for disabled CYP.</w:t>
            </w:r>
          </w:p>
          <w:p w:rsidR="00EF7D80" w:rsidRPr="00480784" w:rsidRDefault="00EF7D80" w:rsidP="00C01C6C">
            <w:pPr>
              <w:pStyle w:val="ListParagraph"/>
              <w:numPr>
                <w:ilvl w:val="0"/>
                <w:numId w:val="21"/>
              </w:numPr>
              <w:spacing w:beforeLines="30" w:afterLines="30"/>
              <w:ind w:left="174" w:hanging="174"/>
              <w:rPr>
                <w:rFonts w:ascii="Rockwell" w:hAnsi="Rockwell" w:cstheme="minorHAnsi"/>
                <w:sz w:val="16"/>
                <w:szCs w:val="16"/>
              </w:rPr>
            </w:pPr>
            <w:r w:rsidRPr="00480784">
              <w:rPr>
                <w:rFonts w:ascii="Rockwell" w:hAnsi="Rockwell" w:cstheme="minorHAnsi"/>
                <w:sz w:val="16"/>
                <w:szCs w:val="16"/>
              </w:rPr>
              <w:t xml:space="preserve">Public bodes </w:t>
            </w:r>
            <w:r w:rsidR="001F091C">
              <w:rPr>
                <w:rFonts w:ascii="Rockwell" w:hAnsi="Rockwell" w:cstheme="minorHAnsi"/>
                <w:sz w:val="16"/>
                <w:szCs w:val="16"/>
              </w:rPr>
              <w:t xml:space="preserve">should </w:t>
            </w:r>
            <w:r w:rsidRPr="00480784">
              <w:rPr>
                <w:rFonts w:ascii="Rockwell" w:hAnsi="Rockwell" w:cstheme="minorHAnsi"/>
                <w:sz w:val="16"/>
                <w:szCs w:val="16"/>
              </w:rPr>
              <w:t xml:space="preserve">use accessible methods to consult fully with disabled CYP and take their views into account when making decisions affecting their lives. </w:t>
            </w:r>
          </w:p>
          <w:p w:rsidR="00EF7D80" w:rsidRPr="00232C50" w:rsidRDefault="00EF7D80" w:rsidP="00C01C6C">
            <w:pPr>
              <w:spacing w:beforeLines="30" w:afterLines="30"/>
              <w:rPr>
                <w:rFonts w:ascii="Rockwell" w:hAnsi="Rockwell" w:cstheme="minorHAnsi"/>
                <w:sz w:val="16"/>
                <w:szCs w:val="16"/>
              </w:rPr>
            </w:pPr>
          </w:p>
        </w:tc>
        <w:tc>
          <w:tcPr>
            <w:tcW w:w="3543" w:type="dxa"/>
            <w:tcBorders>
              <w:top w:val="single" w:sz="12" w:space="0" w:color="002060"/>
            </w:tcBorders>
            <w:vAlign w:val="center"/>
          </w:tcPr>
          <w:p w:rsidR="00EF7D80" w:rsidRPr="00480784" w:rsidRDefault="00EF7D80" w:rsidP="00C01C6C">
            <w:pPr>
              <w:pStyle w:val="ListParagraph"/>
              <w:numPr>
                <w:ilvl w:val="0"/>
                <w:numId w:val="21"/>
              </w:numPr>
              <w:spacing w:beforeLines="30" w:afterLines="30"/>
              <w:ind w:left="174" w:hanging="174"/>
              <w:rPr>
                <w:rFonts w:ascii="Rockwell" w:hAnsi="Rockwell" w:cstheme="minorHAnsi"/>
                <w:sz w:val="16"/>
                <w:szCs w:val="16"/>
              </w:rPr>
            </w:pPr>
            <w:r w:rsidRPr="00480784">
              <w:rPr>
                <w:rFonts w:ascii="Rockwell" w:hAnsi="Rockwell" w:cstheme="minorHAnsi"/>
                <w:sz w:val="16"/>
                <w:szCs w:val="16"/>
              </w:rPr>
              <w:t xml:space="preserve">Work to ensure that the views of disabled CYP and their families and carers are truly listened to and their perspective is reflected in service provision. </w:t>
            </w:r>
          </w:p>
          <w:p w:rsidR="00EF7D80" w:rsidRPr="00480784" w:rsidRDefault="00EF7D80" w:rsidP="00C01C6C">
            <w:pPr>
              <w:pStyle w:val="ListParagraph"/>
              <w:spacing w:beforeLines="30" w:afterLines="30"/>
              <w:ind w:left="175"/>
              <w:rPr>
                <w:rFonts w:ascii="Rockwell" w:eastAsia="Times New Roman" w:hAnsi="Rockwell" w:cstheme="minorHAnsi"/>
                <w:sz w:val="16"/>
                <w:szCs w:val="16"/>
                <w:lang w:eastAsia="en-GB"/>
              </w:rPr>
            </w:pPr>
          </w:p>
        </w:tc>
        <w:tc>
          <w:tcPr>
            <w:tcW w:w="3402" w:type="dxa"/>
            <w:tcBorders>
              <w:top w:val="single" w:sz="12" w:space="0" w:color="002060"/>
            </w:tcBorders>
          </w:tcPr>
          <w:p w:rsidR="00232C50" w:rsidRDefault="00232C50" w:rsidP="00C01C6C">
            <w:pPr>
              <w:pStyle w:val="ListParagraph"/>
              <w:spacing w:beforeLines="30" w:afterLines="30"/>
              <w:ind w:left="174"/>
              <w:rPr>
                <w:rFonts w:ascii="Rockwell" w:hAnsi="Rockwell" w:cstheme="minorHAnsi"/>
                <w:sz w:val="16"/>
                <w:szCs w:val="16"/>
              </w:rPr>
            </w:pPr>
          </w:p>
          <w:p w:rsidR="00232C50" w:rsidRDefault="00232C50" w:rsidP="00C01C6C">
            <w:pPr>
              <w:pStyle w:val="ListParagraph"/>
              <w:spacing w:beforeLines="30" w:afterLines="30"/>
              <w:ind w:left="174"/>
              <w:rPr>
                <w:rFonts w:ascii="Rockwell" w:hAnsi="Rockwell" w:cstheme="minorHAnsi"/>
                <w:sz w:val="16"/>
                <w:szCs w:val="16"/>
              </w:rPr>
            </w:pPr>
          </w:p>
          <w:p w:rsidR="006B4143" w:rsidRDefault="006B4143" w:rsidP="00C01C6C">
            <w:pPr>
              <w:pStyle w:val="ListParagraph"/>
              <w:spacing w:beforeLines="30" w:afterLines="30"/>
              <w:ind w:left="174"/>
              <w:rPr>
                <w:rFonts w:ascii="Rockwell" w:hAnsi="Rockwell" w:cstheme="minorHAnsi"/>
                <w:sz w:val="16"/>
                <w:szCs w:val="16"/>
              </w:rPr>
            </w:pPr>
          </w:p>
          <w:p w:rsidR="006B4143" w:rsidRDefault="006B4143" w:rsidP="00C01C6C">
            <w:pPr>
              <w:pStyle w:val="ListParagraph"/>
              <w:spacing w:beforeLines="30" w:afterLines="30"/>
              <w:ind w:left="174"/>
              <w:rPr>
                <w:rFonts w:ascii="Rockwell" w:hAnsi="Rockwell" w:cstheme="minorHAnsi"/>
                <w:sz w:val="16"/>
                <w:szCs w:val="16"/>
              </w:rPr>
            </w:pPr>
          </w:p>
          <w:p w:rsidR="00232C50" w:rsidRDefault="00232C50" w:rsidP="00C01C6C">
            <w:pPr>
              <w:pStyle w:val="ListParagraph"/>
              <w:spacing w:beforeLines="30" w:afterLines="30"/>
              <w:ind w:left="174"/>
              <w:rPr>
                <w:rFonts w:ascii="Rockwell" w:hAnsi="Rockwell" w:cstheme="minorHAnsi"/>
                <w:sz w:val="16"/>
                <w:szCs w:val="16"/>
              </w:rPr>
            </w:pPr>
          </w:p>
          <w:p w:rsidR="00232C50" w:rsidRDefault="00232C50" w:rsidP="00C01C6C">
            <w:pPr>
              <w:pStyle w:val="ListParagraph"/>
              <w:spacing w:beforeLines="30" w:afterLines="30"/>
              <w:ind w:left="174"/>
              <w:rPr>
                <w:rFonts w:ascii="Rockwell" w:hAnsi="Rockwell" w:cstheme="minorHAnsi"/>
                <w:sz w:val="16"/>
                <w:szCs w:val="16"/>
              </w:rPr>
            </w:pPr>
          </w:p>
          <w:p w:rsidR="00232C50" w:rsidRDefault="00232C50" w:rsidP="00C01C6C">
            <w:pPr>
              <w:pStyle w:val="ListParagraph"/>
              <w:numPr>
                <w:ilvl w:val="0"/>
                <w:numId w:val="21"/>
              </w:numPr>
              <w:spacing w:beforeLines="30" w:afterLines="30"/>
              <w:ind w:left="174" w:hanging="174"/>
              <w:rPr>
                <w:rFonts w:ascii="Rockwell" w:hAnsi="Rockwell" w:cstheme="minorHAnsi"/>
                <w:sz w:val="16"/>
                <w:szCs w:val="16"/>
              </w:rPr>
            </w:pPr>
            <w:r>
              <w:rPr>
                <w:rFonts w:ascii="Rockwell" w:hAnsi="Rockwell" w:cstheme="minorHAnsi"/>
                <w:sz w:val="16"/>
                <w:szCs w:val="16"/>
              </w:rPr>
              <w:t>E</w:t>
            </w:r>
            <w:r w:rsidRPr="00232C50">
              <w:rPr>
                <w:rFonts w:ascii="Rockwell" w:hAnsi="Rockwell" w:cstheme="minorHAnsi"/>
                <w:sz w:val="16"/>
                <w:szCs w:val="16"/>
              </w:rPr>
              <w:t xml:space="preserve">nsure families &amp; CYP are given the opportunity to express their views about the services provided. </w:t>
            </w:r>
          </w:p>
          <w:p w:rsidR="00232C50" w:rsidRPr="00232C50" w:rsidRDefault="00232C50" w:rsidP="00C01C6C">
            <w:pPr>
              <w:pStyle w:val="ListParagraph"/>
              <w:numPr>
                <w:ilvl w:val="0"/>
                <w:numId w:val="21"/>
              </w:numPr>
              <w:spacing w:beforeLines="30" w:afterLines="30"/>
              <w:ind w:left="174" w:hanging="174"/>
              <w:rPr>
                <w:rFonts w:ascii="Rockwell" w:hAnsi="Rockwell" w:cstheme="minorHAnsi"/>
                <w:sz w:val="16"/>
                <w:szCs w:val="16"/>
              </w:rPr>
            </w:pPr>
            <w:r>
              <w:rPr>
                <w:rFonts w:ascii="Rockwell" w:hAnsi="Rockwell" w:cstheme="minorHAnsi"/>
                <w:sz w:val="16"/>
                <w:szCs w:val="16"/>
              </w:rPr>
              <w:t>F</w:t>
            </w:r>
            <w:r w:rsidRPr="00480784">
              <w:rPr>
                <w:rFonts w:ascii="Rockwell" w:hAnsi="Rockwell" w:cstheme="minorHAnsi"/>
                <w:sz w:val="16"/>
                <w:szCs w:val="16"/>
              </w:rPr>
              <w:t>ormally assess a child’s needs when a parent asks them to do so.</w:t>
            </w:r>
          </w:p>
          <w:p w:rsidR="00EF7D80" w:rsidRPr="00480784" w:rsidRDefault="00EF7D80" w:rsidP="00C01C6C">
            <w:pPr>
              <w:spacing w:beforeLines="30" w:afterLines="30"/>
              <w:rPr>
                <w:rFonts w:ascii="Rockwell" w:hAnsi="Rockwell" w:cstheme="minorHAnsi"/>
                <w:b/>
                <w:color w:val="FF0000"/>
                <w:sz w:val="16"/>
                <w:szCs w:val="16"/>
              </w:rPr>
            </w:pPr>
          </w:p>
        </w:tc>
        <w:tc>
          <w:tcPr>
            <w:tcW w:w="4395" w:type="dxa"/>
            <w:tcBorders>
              <w:top w:val="single" w:sz="12" w:space="0" w:color="002060"/>
            </w:tcBorders>
            <w:vAlign w:val="center"/>
          </w:tcPr>
          <w:p w:rsidR="00EF7D80" w:rsidRPr="00480784" w:rsidRDefault="00EF7D80" w:rsidP="00C01C6C">
            <w:pPr>
              <w:spacing w:beforeLines="30" w:afterLines="30"/>
              <w:rPr>
                <w:rFonts w:ascii="Rockwell" w:hAnsi="Rockwell" w:cstheme="minorHAnsi"/>
                <w:b/>
                <w:color w:val="FF0000"/>
                <w:sz w:val="16"/>
                <w:szCs w:val="16"/>
              </w:rPr>
            </w:pPr>
            <w:r w:rsidRPr="00480784">
              <w:rPr>
                <w:rFonts w:ascii="Rockwell" w:hAnsi="Rockwell" w:cstheme="minorHAnsi"/>
                <w:b/>
                <w:color w:val="FF0000"/>
                <w:sz w:val="16"/>
                <w:szCs w:val="16"/>
              </w:rPr>
              <w:t>For example:</w:t>
            </w:r>
          </w:p>
          <w:p w:rsidR="00EF7D80" w:rsidRPr="00480784" w:rsidRDefault="00EF7D80" w:rsidP="00C01C6C">
            <w:pPr>
              <w:pStyle w:val="ListParagraph"/>
              <w:numPr>
                <w:ilvl w:val="0"/>
                <w:numId w:val="23"/>
              </w:numPr>
              <w:spacing w:beforeLines="30" w:afterLines="30"/>
              <w:ind w:left="318" w:hanging="284"/>
              <w:rPr>
                <w:rFonts w:ascii="Rockwell" w:hAnsi="Rockwell" w:cstheme="minorHAnsi"/>
                <w:color w:val="FF0000"/>
                <w:sz w:val="16"/>
                <w:szCs w:val="16"/>
              </w:rPr>
            </w:pPr>
            <w:r w:rsidRPr="00480784">
              <w:rPr>
                <w:rFonts w:ascii="Rockwell" w:hAnsi="Rockwell" w:cstheme="minorHAnsi"/>
                <w:color w:val="FF0000"/>
                <w:sz w:val="16"/>
                <w:szCs w:val="16"/>
              </w:rPr>
              <w:t>SCCYP research involved focus groups of CYP and their families.</w:t>
            </w:r>
          </w:p>
          <w:p w:rsidR="00EF7D80" w:rsidRPr="00480784" w:rsidRDefault="00EF7D80" w:rsidP="00C01C6C">
            <w:pPr>
              <w:pStyle w:val="ListParagraph"/>
              <w:numPr>
                <w:ilvl w:val="0"/>
                <w:numId w:val="23"/>
              </w:numPr>
              <w:spacing w:beforeLines="30" w:afterLines="30"/>
              <w:ind w:left="318" w:hanging="284"/>
              <w:rPr>
                <w:rFonts w:ascii="Rockwell" w:hAnsi="Rockwell" w:cstheme="minorHAnsi"/>
                <w:color w:val="FF0000"/>
                <w:sz w:val="16"/>
                <w:szCs w:val="16"/>
              </w:rPr>
            </w:pPr>
            <w:r w:rsidRPr="00480784">
              <w:rPr>
                <w:rFonts w:ascii="Rockwell" w:hAnsi="Rockwell" w:cstheme="minorHAnsi"/>
                <w:color w:val="FF0000"/>
                <w:sz w:val="16"/>
                <w:szCs w:val="16"/>
              </w:rPr>
              <w:t>SCCYP’s Disability Advisory Group involved young disabled people and their families, although this group is no longer meeting at present.</w:t>
            </w:r>
          </w:p>
          <w:p w:rsidR="00EF7D80" w:rsidRPr="00480784" w:rsidRDefault="00EF7D80" w:rsidP="00C01C6C">
            <w:pPr>
              <w:pStyle w:val="ListParagraph"/>
              <w:numPr>
                <w:ilvl w:val="0"/>
                <w:numId w:val="23"/>
              </w:numPr>
              <w:spacing w:beforeLines="30" w:afterLines="30"/>
              <w:ind w:left="318" w:hanging="284"/>
              <w:rPr>
                <w:rFonts w:ascii="Rockwell" w:hAnsi="Rockwell" w:cstheme="minorHAnsi"/>
                <w:color w:val="FF0000"/>
                <w:sz w:val="16"/>
                <w:szCs w:val="16"/>
              </w:rPr>
            </w:pPr>
            <w:r w:rsidRPr="00480784">
              <w:rPr>
                <w:rFonts w:ascii="Rockwell" w:hAnsi="Rockwell" w:cstheme="minorHAnsi"/>
                <w:color w:val="FF0000"/>
                <w:sz w:val="16"/>
                <w:szCs w:val="16"/>
              </w:rPr>
              <w:t>SCCYP has collated feedback from CYP gathered at our September conference and this information was published on our website.</w:t>
            </w:r>
          </w:p>
          <w:p w:rsidR="00EF7D80" w:rsidRPr="00480784" w:rsidRDefault="00EF7D80" w:rsidP="00C01C6C">
            <w:pPr>
              <w:pStyle w:val="ListParagraph"/>
              <w:numPr>
                <w:ilvl w:val="0"/>
                <w:numId w:val="23"/>
              </w:numPr>
              <w:spacing w:beforeLines="30" w:afterLines="30"/>
              <w:ind w:left="318" w:hanging="284"/>
              <w:rPr>
                <w:rFonts w:ascii="Rockwell" w:hAnsi="Rockwell" w:cstheme="minorHAnsi"/>
                <w:color w:val="FF0000"/>
                <w:sz w:val="16"/>
                <w:szCs w:val="16"/>
              </w:rPr>
            </w:pPr>
            <w:r w:rsidRPr="00480784">
              <w:rPr>
                <w:rFonts w:ascii="Rockwell" w:hAnsi="Rockwell" w:cstheme="minorHAnsi"/>
                <w:color w:val="FF0000"/>
                <w:sz w:val="16"/>
                <w:szCs w:val="16"/>
              </w:rPr>
              <w:t>We are aware that for Scotland’s Disa</w:t>
            </w:r>
            <w:r w:rsidR="0020654F">
              <w:rPr>
                <w:rFonts w:ascii="Rockwell" w:hAnsi="Rockwell" w:cstheme="minorHAnsi"/>
                <w:color w:val="FF0000"/>
                <w:sz w:val="16"/>
                <w:szCs w:val="16"/>
              </w:rPr>
              <w:t>bled Children and Children in Scotland</w:t>
            </w:r>
            <w:r w:rsidRPr="00480784">
              <w:rPr>
                <w:rFonts w:ascii="Rockwell" w:hAnsi="Rockwell" w:cstheme="minorHAnsi"/>
                <w:color w:val="FF0000"/>
                <w:sz w:val="16"/>
                <w:szCs w:val="16"/>
              </w:rPr>
              <w:t xml:space="preserve"> are engaging in a Parent Participation project, which aims  to give parent carers of disabled children in Scotland an increased opportunity to inform the development of the relevant legislation and policy and to drive work forward.</w:t>
            </w:r>
          </w:p>
        </w:tc>
      </w:tr>
      <w:tr w:rsidR="006B4143" w:rsidRPr="00480784" w:rsidTr="006B4143">
        <w:trPr>
          <w:trHeight w:val="1445"/>
        </w:trPr>
        <w:tc>
          <w:tcPr>
            <w:tcW w:w="994" w:type="dxa"/>
            <w:vAlign w:val="center"/>
          </w:tcPr>
          <w:p w:rsidR="00EF7D80" w:rsidRPr="00480784" w:rsidRDefault="00EF7D80" w:rsidP="00C01C6C">
            <w:pPr>
              <w:spacing w:beforeLines="30" w:afterLines="30"/>
              <w:jc w:val="center"/>
              <w:rPr>
                <w:rFonts w:ascii="Rockwell" w:hAnsi="Rockwell" w:cstheme="minorHAnsi"/>
                <w:i/>
                <w:sz w:val="16"/>
                <w:szCs w:val="16"/>
              </w:rPr>
            </w:pPr>
            <w:r w:rsidRPr="00480784">
              <w:rPr>
                <w:rFonts w:ascii="Rockwell" w:hAnsi="Rockwell" w:cstheme="minorHAnsi"/>
                <w:i/>
                <w:sz w:val="16"/>
                <w:szCs w:val="16"/>
              </w:rPr>
              <w:t>Communicating with CYP &amp; their families</w:t>
            </w:r>
          </w:p>
        </w:tc>
        <w:tc>
          <w:tcPr>
            <w:tcW w:w="4110" w:type="dxa"/>
            <w:vAlign w:val="center"/>
          </w:tcPr>
          <w:p w:rsidR="00EF7D80" w:rsidRPr="00480784" w:rsidRDefault="00EF7D80" w:rsidP="00C01C6C">
            <w:pPr>
              <w:pStyle w:val="ListParagraph"/>
              <w:numPr>
                <w:ilvl w:val="0"/>
                <w:numId w:val="21"/>
              </w:numPr>
              <w:spacing w:beforeLines="30" w:afterLines="30"/>
              <w:ind w:left="174" w:hanging="174"/>
              <w:rPr>
                <w:rFonts w:ascii="Rockwell" w:hAnsi="Rockwell" w:cstheme="minorHAnsi"/>
                <w:sz w:val="16"/>
                <w:szCs w:val="16"/>
              </w:rPr>
            </w:pPr>
            <w:r w:rsidRPr="00480784">
              <w:rPr>
                <w:rFonts w:ascii="Rockwell" w:hAnsi="Rockwell" w:cstheme="minorHAnsi"/>
                <w:sz w:val="16"/>
                <w:szCs w:val="16"/>
              </w:rPr>
              <w:t xml:space="preserve">Public bodies </w:t>
            </w:r>
            <w:r w:rsidR="001F091C">
              <w:rPr>
                <w:rFonts w:ascii="Rockwell" w:hAnsi="Rockwell" w:cstheme="minorHAnsi"/>
                <w:sz w:val="16"/>
                <w:szCs w:val="16"/>
              </w:rPr>
              <w:t>should be</w:t>
            </w:r>
            <w:r w:rsidRPr="00480784">
              <w:rPr>
                <w:rFonts w:ascii="Rockwell" w:hAnsi="Rockwell" w:cstheme="minorHAnsi"/>
                <w:sz w:val="16"/>
                <w:szCs w:val="16"/>
              </w:rPr>
              <w:t xml:space="preserve"> more active in disseminating information about services for disabled CYP. </w:t>
            </w:r>
          </w:p>
          <w:p w:rsidR="00BB30B6" w:rsidRPr="00BB30B6" w:rsidRDefault="00A32E6E" w:rsidP="00C01C6C">
            <w:pPr>
              <w:pStyle w:val="ListParagraph"/>
              <w:numPr>
                <w:ilvl w:val="0"/>
                <w:numId w:val="21"/>
              </w:numPr>
              <w:spacing w:beforeLines="30" w:afterLines="30"/>
              <w:ind w:left="174" w:hanging="174"/>
              <w:rPr>
                <w:rFonts w:ascii="Rockwell" w:hAnsi="Rockwell" w:cstheme="minorHAnsi"/>
                <w:sz w:val="16"/>
                <w:szCs w:val="16"/>
              </w:rPr>
            </w:pPr>
            <w:r>
              <w:rPr>
                <w:rFonts w:ascii="Rockwell" w:hAnsi="Rockwell" w:cstheme="minorHAnsi"/>
                <w:sz w:val="16"/>
                <w:szCs w:val="16"/>
              </w:rPr>
              <w:t>Ensure m</w:t>
            </w:r>
            <w:r w:rsidR="001F091C">
              <w:rPr>
                <w:rFonts w:ascii="Rockwell" w:hAnsi="Rockwell" w:cstheme="minorHAnsi"/>
                <w:sz w:val="16"/>
                <w:szCs w:val="16"/>
              </w:rPr>
              <w:t xml:space="preserve">aterials </w:t>
            </w:r>
            <w:r>
              <w:rPr>
                <w:rFonts w:ascii="Rockwell" w:hAnsi="Rockwell" w:cstheme="minorHAnsi"/>
                <w:sz w:val="16"/>
                <w:szCs w:val="16"/>
              </w:rPr>
              <w:t>are</w:t>
            </w:r>
            <w:bookmarkStart w:id="0" w:name="_GoBack"/>
            <w:bookmarkEnd w:id="0"/>
            <w:r w:rsidR="00EF7D80" w:rsidRPr="00480784">
              <w:rPr>
                <w:rFonts w:ascii="Rockwell" w:hAnsi="Rockwell" w:cstheme="minorHAnsi"/>
                <w:sz w:val="16"/>
                <w:szCs w:val="16"/>
              </w:rPr>
              <w:t xml:space="preserve"> available in a rang</w:t>
            </w:r>
            <w:r w:rsidR="00BB30B6">
              <w:rPr>
                <w:rFonts w:ascii="Rockwell" w:hAnsi="Rockwell" w:cstheme="minorHAnsi"/>
                <w:sz w:val="16"/>
                <w:szCs w:val="16"/>
              </w:rPr>
              <w:t xml:space="preserve">e of accessible formats for CYP, including in appropriate languages and taking into account </w:t>
            </w:r>
            <w:r w:rsidR="00BB30B6" w:rsidRPr="00BB30B6">
              <w:rPr>
                <w:rFonts w:ascii="Rockwell" w:hAnsi="Rockwell" w:cstheme="minorHAnsi"/>
                <w:sz w:val="16"/>
                <w:szCs w:val="16"/>
              </w:rPr>
              <w:t>families’ religious and cultural needs within all forms of provision.</w:t>
            </w:r>
          </w:p>
        </w:tc>
        <w:tc>
          <w:tcPr>
            <w:tcW w:w="3543" w:type="dxa"/>
            <w:vAlign w:val="center"/>
          </w:tcPr>
          <w:p w:rsidR="00EF7D80" w:rsidRPr="00480784" w:rsidRDefault="00EF7D80" w:rsidP="00C01C6C">
            <w:pPr>
              <w:pStyle w:val="ListParagraph"/>
              <w:numPr>
                <w:ilvl w:val="0"/>
                <w:numId w:val="21"/>
              </w:numPr>
              <w:spacing w:beforeLines="30" w:afterLines="30"/>
              <w:ind w:left="174" w:hanging="174"/>
              <w:rPr>
                <w:rFonts w:ascii="Rockwell" w:hAnsi="Rockwell" w:cstheme="minorHAnsi"/>
                <w:sz w:val="16"/>
                <w:szCs w:val="16"/>
              </w:rPr>
            </w:pPr>
            <w:r w:rsidRPr="00480784">
              <w:rPr>
                <w:rFonts w:ascii="Rockwell" w:hAnsi="Rockwell" w:cstheme="minorHAnsi"/>
                <w:sz w:val="16"/>
                <w:szCs w:val="16"/>
              </w:rPr>
              <w:t xml:space="preserve">LAs </w:t>
            </w:r>
            <w:r w:rsidR="001F091C">
              <w:rPr>
                <w:rFonts w:ascii="Rockwell" w:hAnsi="Rockwell" w:cstheme="minorHAnsi"/>
                <w:sz w:val="16"/>
                <w:szCs w:val="16"/>
              </w:rPr>
              <w:t>should be</w:t>
            </w:r>
            <w:r w:rsidRPr="00480784">
              <w:rPr>
                <w:rFonts w:ascii="Rockwell" w:hAnsi="Rockwell" w:cstheme="minorHAnsi"/>
                <w:sz w:val="16"/>
                <w:szCs w:val="16"/>
              </w:rPr>
              <w:t xml:space="preserve"> open, honest and transparent when communicating with disabled CYP and their families. Lines of communication be</w:t>
            </w:r>
            <w:r w:rsidR="001F091C">
              <w:rPr>
                <w:rFonts w:ascii="Rockwell" w:hAnsi="Rockwell" w:cstheme="minorHAnsi"/>
                <w:sz w:val="16"/>
                <w:szCs w:val="16"/>
              </w:rPr>
              <w:t>tween LAs and their families must be</w:t>
            </w:r>
            <w:r w:rsidRPr="00480784">
              <w:rPr>
                <w:rFonts w:ascii="Rockwell" w:hAnsi="Rockwell" w:cstheme="minorHAnsi"/>
                <w:sz w:val="16"/>
                <w:szCs w:val="16"/>
              </w:rPr>
              <w:t xml:space="preserve"> clear.</w:t>
            </w:r>
          </w:p>
          <w:p w:rsidR="00EF7D80" w:rsidRPr="00480784" w:rsidRDefault="00EF7D80" w:rsidP="00C01C6C">
            <w:pPr>
              <w:pStyle w:val="ListParagraph"/>
              <w:spacing w:beforeLines="30" w:afterLines="30"/>
              <w:ind w:left="317"/>
              <w:rPr>
                <w:rFonts w:ascii="Rockwell" w:hAnsi="Rockwell" w:cstheme="minorHAnsi"/>
                <w:sz w:val="16"/>
                <w:szCs w:val="16"/>
              </w:rPr>
            </w:pPr>
          </w:p>
        </w:tc>
        <w:tc>
          <w:tcPr>
            <w:tcW w:w="3402" w:type="dxa"/>
          </w:tcPr>
          <w:p w:rsidR="001F091C" w:rsidRPr="006B4143" w:rsidRDefault="001F091C" w:rsidP="00C01C6C">
            <w:pPr>
              <w:pStyle w:val="ListParagraph"/>
              <w:numPr>
                <w:ilvl w:val="0"/>
                <w:numId w:val="21"/>
              </w:numPr>
              <w:spacing w:beforeLines="30" w:afterLines="30"/>
              <w:ind w:left="174" w:hanging="174"/>
              <w:rPr>
                <w:rFonts w:ascii="Rockwell" w:hAnsi="Rockwell" w:cstheme="minorHAnsi"/>
                <w:sz w:val="16"/>
                <w:szCs w:val="16"/>
              </w:rPr>
            </w:pPr>
            <w:r w:rsidRPr="006B4143">
              <w:rPr>
                <w:rFonts w:ascii="Rockwell" w:hAnsi="Rockwell" w:cstheme="minorHAnsi"/>
                <w:sz w:val="16"/>
                <w:szCs w:val="16"/>
              </w:rPr>
              <w:t xml:space="preserve">Publish information explaining what services might be available. </w:t>
            </w:r>
          </w:p>
          <w:p w:rsidR="00EF7D80" w:rsidRPr="001F091C" w:rsidRDefault="001F091C" w:rsidP="00C01C6C">
            <w:pPr>
              <w:pStyle w:val="ListParagraph"/>
              <w:numPr>
                <w:ilvl w:val="0"/>
                <w:numId w:val="21"/>
              </w:numPr>
              <w:spacing w:beforeLines="30" w:afterLines="30"/>
              <w:ind w:left="174" w:hanging="174"/>
              <w:rPr>
                <w:rFonts w:ascii="Rockwell" w:hAnsi="Rockwell" w:cstheme="minorHAnsi"/>
                <w:sz w:val="16"/>
                <w:szCs w:val="16"/>
              </w:rPr>
            </w:pPr>
            <w:r>
              <w:rPr>
                <w:rFonts w:ascii="Rockwell" w:hAnsi="Rockwell" w:cstheme="minorHAnsi"/>
                <w:sz w:val="16"/>
                <w:szCs w:val="16"/>
              </w:rPr>
              <w:t>En</w:t>
            </w:r>
            <w:r w:rsidRPr="00480784">
              <w:rPr>
                <w:rFonts w:ascii="Rockwell" w:hAnsi="Rockwell" w:cstheme="minorHAnsi"/>
                <w:sz w:val="16"/>
                <w:szCs w:val="16"/>
              </w:rPr>
              <w:t xml:space="preserve">sure all CYP and their families are provided with an explanation of the decisions made in an appropriate format in line with their Equality duties. </w:t>
            </w:r>
          </w:p>
        </w:tc>
        <w:tc>
          <w:tcPr>
            <w:tcW w:w="4395" w:type="dxa"/>
            <w:vAlign w:val="center"/>
          </w:tcPr>
          <w:p w:rsidR="00EF7D80" w:rsidRPr="00480784" w:rsidRDefault="00EF7D80" w:rsidP="00C01C6C">
            <w:pPr>
              <w:spacing w:beforeLines="30" w:afterLines="30"/>
              <w:rPr>
                <w:rFonts w:ascii="Rockwell" w:hAnsi="Rockwell" w:cstheme="minorHAnsi"/>
                <w:sz w:val="16"/>
                <w:szCs w:val="16"/>
              </w:rPr>
            </w:pPr>
          </w:p>
        </w:tc>
      </w:tr>
      <w:tr w:rsidR="006B4143" w:rsidRPr="00480784" w:rsidTr="006B4143">
        <w:trPr>
          <w:trHeight w:val="1267"/>
        </w:trPr>
        <w:tc>
          <w:tcPr>
            <w:tcW w:w="994" w:type="dxa"/>
            <w:vAlign w:val="center"/>
          </w:tcPr>
          <w:p w:rsidR="00EF7D80" w:rsidRPr="00480784" w:rsidRDefault="00EF7D80" w:rsidP="00C01C6C">
            <w:pPr>
              <w:spacing w:beforeLines="30" w:afterLines="30"/>
              <w:jc w:val="center"/>
              <w:rPr>
                <w:rFonts w:ascii="Rockwell" w:hAnsi="Rockwell" w:cstheme="minorHAnsi"/>
                <w:sz w:val="16"/>
                <w:szCs w:val="16"/>
              </w:rPr>
            </w:pPr>
            <w:r w:rsidRPr="00480784">
              <w:rPr>
                <w:rFonts w:ascii="Rockwell" w:hAnsi="Rockwell" w:cstheme="minorHAnsi"/>
                <w:i/>
                <w:sz w:val="16"/>
                <w:szCs w:val="16"/>
              </w:rPr>
              <w:t>Resolving conflict</w:t>
            </w:r>
          </w:p>
        </w:tc>
        <w:tc>
          <w:tcPr>
            <w:tcW w:w="4110" w:type="dxa"/>
            <w:vAlign w:val="center"/>
          </w:tcPr>
          <w:p w:rsidR="00EF7D80" w:rsidRPr="00480784" w:rsidRDefault="001F091C" w:rsidP="00C01C6C">
            <w:pPr>
              <w:pStyle w:val="ListParagraph"/>
              <w:numPr>
                <w:ilvl w:val="0"/>
                <w:numId w:val="21"/>
              </w:numPr>
              <w:spacing w:beforeLines="30" w:afterLines="30"/>
              <w:ind w:left="174" w:hanging="174"/>
              <w:rPr>
                <w:rFonts w:ascii="Rockwell" w:hAnsi="Rockwell" w:cstheme="minorHAnsi"/>
                <w:sz w:val="16"/>
                <w:szCs w:val="16"/>
              </w:rPr>
            </w:pPr>
            <w:r>
              <w:rPr>
                <w:rFonts w:ascii="Rockwell" w:hAnsi="Rockwell" w:cstheme="minorHAnsi"/>
                <w:sz w:val="16"/>
                <w:szCs w:val="16"/>
              </w:rPr>
              <w:t xml:space="preserve">Set up a </w:t>
            </w:r>
            <w:r w:rsidR="00EF7D80" w:rsidRPr="00480784">
              <w:rPr>
                <w:rFonts w:ascii="Rockwell" w:hAnsi="Rockwell" w:cstheme="minorHAnsi"/>
                <w:sz w:val="16"/>
                <w:szCs w:val="16"/>
              </w:rPr>
              <w:t>conflict resolution mechanism for families using social work services.</w:t>
            </w:r>
          </w:p>
        </w:tc>
        <w:tc>
          <w:tcPr>
            <w:tcW w:w="3543" w:type="dxa"/>
            <w:vAlign w:val="center"/>
          </w:tcPr>
          <w:p w:rsidR="00EF7D80" w:rsidRPr="00480784" w:rsidRDefault="00EF7D80" w:rsidP="00C01C6C">
            <w:pPr>
              <w:pStyle w:val="ListParagraph"/>
              <w:numPr>
                <w:ilvl w:val="0"/>
                <w:numId w:val="21"/>
              </w:numPr>
              <w:spacing w:beforeLines="30" w:afterLines="30"/>
              <w:ind w:left="174" w:hanging="174"/>
              <w:rPr>
                <w:rFonts w:ascii="Rockwell" w:hAnsi="Rockwell" w:cstheme="minorHAnsi"/>
                <w:sz w:val="16"/>
                <w:szCs w:val="16"/>
              </w:rPr>
            </w:pPr>
            <w:r w:rsidRPr="00480784">
              <w:rPr>
                <w:rFonts w:ascii="Rockwell" w:hAnsi="Rockwell" w:cstheme="minorHAnsi"/>
                <w:sz w:val="16"/>
                <w:szCs w:val="16"/>
              </w:rPr>
              <w:t xml:space="preserve">Lines of accountability </w:t>
            </w:r>
            <w:r w:rsidR="006B4143">
              <w:rPr>
                <w:rFonts w:ascii="Rockwell" w:hAnsi="Rockwell" w:cstheme="minorHAnsi"/>
                <w:sz w:val="16"/>
                <w:szCs w:val="16"/>
              </w:rPr>
              <w:t>should be</w:t>
            </w:r>
            <w:r w:rsidRPr="00480784">
              <w:rPr>
                <w:rFonts w:ascii="Rockwell" w:hAnsi="Rockwell" w:cstheme="minorHAnsi"/>
                <w:sz w:val="16"/>
                <w:szCs w:val="16"/>
              </w:rPr>
              <w:t xml:space="preserve"> clear and a</w:t>
            </w:r>
            <w:r w:rsidR="006B4143">
              <w:rPr>
                <w:rFonts w:ascii="Rockwell" w:hAnsi="Rockwell" w:cstheme="minorHAnsi"/>
                <w:sz w:val="16"/>
                <w:szCs w:val="16"/>
              </w:rPr>
              <w:t xml:space="preserve"> method should be</w:t>
            </w:r>
            <w:r w:rsidRPr="001F091C">
              <w:rPr>
                <w:rFonts w:ascii="Rockwell" w:hAnsi="Rockwell" w:cstheme="minorHAnsi"/>
                <w:sz w:val="16"/>
                <w:szCs w:val="16"/>
              </w:rPr>
              <w:t xml:space="preserve"> in place to hold authorities accountable </w:t>
            </w:r>
            <w:r w:rsidR="006B4143">
              <w:rPr>
                <w:rFonts w:ascii="Rockwell" w:hAnsi="Rockwell" w:cstheme="minorHAnsi"/>
                <w:sz w:val="16"/>
                <w:szCs w:val="16"/>
              </w:rPr>
              <w:t>for</w:t>
            </w:r>
            <w:r w:rsidRPr="001F091C">
              <w:rPr>
                <w:rFonts w:ascii="Rockwell" w:hAnsi="Rockwell" w:cstheme="minorHAnsi"/>
                <w:sz w:val="16"/>
                <w:szCs w:val="16"/>
              </w:rPr>
              <w:t xml:space="preserve"> fulfilling their statutory requirements of service delivery.</w:t>
            </w:r>
          </w:p>
          <w:p w:rsidR="00EF7D80" w:rsidRPr="00480784" w:rsidRDefault="006B4143" w:rsidP="00C01C6C">
            <w:pPr>
              <w:pStyle w:val="ListParagraph"/>
              <w:numPr>
                <w:ilvl w:val="0"/>
                <w:numId w:val="21"/>
              </w:numPr>
              <w:spacing w:beforeLines="30" w:afterLines="30"/>
              <w:ind w:left="174" w:hanging="174"/>
              <w:rPr>
                <w:rFonts w:ascii="Rockwell" w:eastAsia="Times New Roman" w:hAnsi="Rockwell" w:cstheme="minorHAnsi"/>
                <w:sz w:val="16"/>
                <w:szCs w:val="16"/>
                <w:lang w:eastAsia="en-GB"/>
              </w:rPr>
            </w:pPr>
            <w:r>
              <w:rPr>
                <w:rFonts w:ascii="Rockwell" w:hAnsi="Rockwell" w:cstheme="minorHAnsi"/>
                <w:sz w:val="16"/>
                <w:szCs w:val="16"/>
              </w:rPr>
              <w:t>Ensure</w:t>
            </w:r>
            <w:r w:rsidR="00EF7D80" w:rsidRPr="00480784">
              <w:rPr>
                <w:rFonts w:ascii="Rockwell" w:hAnsi="Rockwell" w:cstheme="minorHAnsi"/>
                <w:sz w:val="16"/>
                <w:szCs w:val="16"/>
              </w:rPr>
              <w:t xml:space="preserve"> </w:t>
            </w:r>
            <w:r w:rsidR="00EF7D80" w:rsidRPr="001F091C">
              <w:rPr>
                <w:rFonts w:ascii="Rockwell" w:hAnsi="Rockwell" w:cstheme="minorHAnsi"/>
                <w:sz w:val="16"/>
                <w:szCs w:val="16"/>
              </w:rPr>
              <w:t>effective, efficient and transparent monitoring of LA performance.</w:t>
            </w:r>
          </w:p>
        </w:tc>
        <w:tc>
          <w:tcPr>
            <w:tcW w:w="3402" w:type="dxa"/>
          </w:tcPr>
          <w:p w:rsidR="00EF7D80" w:rsidRPr="00480784" w:rsidRDefault="00EF7D80" w:rsidP="00C01C6C">
            <w:pPr>
              <w:spacing w:beforeLines="30" w:afterLines="30"/>
              <w:rPr>
                <w:rFonts w:ascii="Rockwell" w:hAnsi="Rockwell" w:cstheme="minorHAnsi"/>
                <w:sz w:val="16"/>
                <w:szCs w:val="16"/>
              </w:rPr>
            </w:pPr>
          </w:p>
        </w:tc>
        <w:tc>
          <w:tcPr>
            <w:tcW w:w="4395" w:type="dxa"/>
            <w:vAlign w:val="center"/>
          </w:tcPr>
          <w:p w:rsidR="00EF7D80" w:rsidRPr="00480784" w:rsidRDefault="00EF7D80" w:rsidP="00C01C6C">
            <w:pPr>
              <w:spacing w:beforeLines="30" w:afterLines="30"/>
              <w:rPr>
                <w:rFonts w:ascii="Rockwell" w:hAnsi="Rockwell" w:cstheme="minorHAnsi"/>
                <w:sz w:val="16"/>
                <w:szCs w:val="16"/>
              </w:rPr>
            </w:pPr>
          </w:p>
        </w:tc>
      </w:tr>
      <w:tr w:rsidR="008B0A28" w:rsidRPr="00480784" w:rsidTr="006B4143">
        <w:trPr>
          <w:trHeight w:val="327"/>
        </w:trPr>
        <w:tc>
          <w:tcPr>
            <w:tcW w:w="16444" w:type="dxa"/>
            <w:gridSpan w:val="5"/>
            <w:tcBorders>
              <w:top w:val="single" w:sz="12" w:space="0" w:color="002060"/>
              <w:bottom w:val="single" w:sz="12" w:space="0" w:color="002060"/>
            </w:tcBorders>
            <w:shd w:val="clear" w:color="auto" w:fill="F3FAFF"/>
          </w:tcPr>
          <w:p w:rsidR="008B0A28" w:rsidRPr="00480784" w:rsidRDefault="008B0A28" w:rsidP="00C01C6C">
            <w:pPr>
              <w:spacing w:beforeLines="30" w:afterLines="30"/>
              <w:jc w:val="center"/>
              <w:rPr>
                <w:rFonts w:ascii="Rockwell" w:hAnsi="Rockwell" w:cstheme="minorHAnsi"/>
                <w:sz w:val="16"/>
                <w:szCs w:val="16"/>
              </w:rPr>
            </w:pPr>
            <w:r w:rsidRPr="00480784">
              <w:rPr>
                <w:rFonts w:ascii="Rockwell" w:eastAsia="Times New Roman" w:hAnsi="Rockwell" w:cstheme="minorHAnsi"/>
                <w:b/>
                <w:i/>
                <w:sz w:val="18"/>
                <w:szCs w:val="18"/>
                <w:lang w:eastAsia="en-GB"/>
              </w:rPr>
              <w:t xml:space="preserve">Theme: </w:t>
            </w:r>
            <w:r w:rsidRPr="00480784">
              <w:rPr>
                <w:rFonts w:ascii="Rockwell" w:hAnsi="Rockwell" w:cstheme="minorHAnsi"/>
                <w:b/>
                <w:i/>
                <w:sz w:val="18"/>
                <w:szCs w:val="18"/>
              </w:rPr>
              <w:t>Service provision</w:t>
            </w:r>
          </w:p>
        </w:tc>
      </w:tr>
      <w:tr w:rsidR="006B4143" w:rsidRPr="00480784" w:rsidTr="006B4143">
        <w:tc>
          <w:tcPr>
            <w:tcW w:w="994" w:type="dxa"/>
            <w:vAlign w:val="center"/>
          </w:tcPr>
          <w:p w:rsidR="00EF7D80" w:rsidRPr="00480784" w:rsidRDefault="00EF7D80" w:rsidP="00C01C6C">
            <w:pPr>
              <w:spacing w:beforeLines="30" w:afterLines="30"/>
              <w:jc w:val="center"/>
              <w:rPr>
                <w:rFonts w:ascii="Rockwell" w:hAnsi="Rockwell" w:cstheme="minorHAnsi"/>
                <w:i/>
                <w:sz w:val="16"/>
                <w:szCs w:val="16"/>
              </w:rPr>
            </w:pPr>
            <w:r w:rsidRPr="00480784">
              <w:rPr>
                <w:rFonts w:ascii="Rockwell" w:hAnsi="Rockwell" w:cstheme="minorHAnsi"/>
                <w:i/>
                <w:sz w:val="16"/>
                <w:szCs w:val="16"/>
              </w:rPr>
              <w:t>Eligibility criteria</w:t>
            </w:r>
          </w:p>
        </w:tc>
        <w:tc>
          <w:tcPr>
            <w:tcW w:w="4110" w:type="dxa"/>
            <w:vAlign w:val="center"/>
          </w:tcPr>
          <w:p w:rsidR="00EF7D80" w:rsidRPr="00480784" w:rsidRDefault="006B4143" w:rsidP="00C01C6C">
            <w:pPr>
              <w:pStyle w:val="ListParagraph"/>
              <w:numPr>
                <w:ilvl w:val="0"/>
                <w:numId w:val="21"/>
              </w:numPr>
              <w:spacing w:beforeLines="30" w:afterLines="30"/>
              <w:ind w:left="174" w:hanging="174"/>
              <w:rPr>
                <w:rFonts w:ascii="Rockwell" w:hAnsi="Rockwell" w:cstheme="minorHAnsi"/>
                <w:sz w:val="16"/>
                <w:szCs w:val="16"/>
              </w:rPr>
            </w:pPr>
            <w:r>
              <w:rPr>
                <w:rFonts w:ascii="Rockwell" w:hAnsi="Rockwell" w:cstheme="minorHAnsi"/>
                <w:sz w:val="16"/>
                <w:szCs w:val="16"/>
              </w:rPr>
              <w:t>Offer a</w:t>
            </w:r>
            <w:r w:rsidR="00EF7D80" w:rsidRPr="00480784">
              <w:rPr>
                <w:rFonts w:ascii="Rockwell" w:hAnsi="Rockwell" w:cstheme="minorHAnsi"/>
                <w:sz w:val="16"/>
                <w:szCs w:val="16"/>
              </w:rPr>
              <w:t>dvice and information to families deemed ineligible for support.</w:t>
            </w:r>
          </w:p>
        </w:tc>
        <w:tc>
          <w:tcPr>
            <w:tcW w:w="3543" w:type="dxa"/>
            <w:vAlign w:val="center"/>
          </w:tcPr>
          <w:p w:rsidR="00EF7D80" w:rsidRPr="00480784" w:rsidRDefault="00EF7D80" w:rsidP="00C01C6C">
            <w:pPr>
              <w:pStyle w:val="ListParagraph"/>
              <w:numPr>
                <w:ilvl w:val="0"/>
                <w:numId w:val="21"/>
              </w:numPr>
              <w:spacing w:beforeLines="30" w:afterLines="30"/>
              <w:ind w:left="174" w:hanging="174"/>
              <w:rPr>
                <w:rFonts w:ascii="Rockwell" w:hAnsi="Rockwell" w:cstheme="minorHAnsi"/>
                <w:sz w:val="16"/>
                <w:szCs w:val="16"/>
              </w:rPr>
            </w:pPr>
            <w:r w:rsidRPr="00480784">
              <w:rPr>
                <w:rFonts w:ascii="Rockwell" w:hAnsi="Rockwell" w:cstheme="minorHAnsi"/>
                <w:sz w:val="16"/>
                <w:szCs w:val="16"/>
              </w:rPr>
              <w:t>Eligibility criteria should be visible/ recognised/ clear/ audited, examined and local authorities must be asked to justify how they are applied.</w:t>
            </w:r>
          </w:p>
          <w:p w:rsidR="00EF7D80" w:rsidRPr="00480784" w:rsidRDefault="00EF7D80" w:rsidP="00C01C6C">
            <w:pPr>
              <w:pStyle w:val="ListParagraph"/>
              <w:numPr>
                <w:ilvl w:val="0"/>
                <w:numId w:val="21"/>
              </w:numPr>
              <w:spacing w:beforeLines="30" w:afterLines="30"/>
              <w:ind w:left="174" w:hanging="174"/>
              <w:rPr>
                <w:rFonts w:ascii="Rockwell" w:hAnsi="Rockwell" w:cstheme="minorHAnsi"/>
                <w:sz w:val="16"/>
                <w:szCs w:val="16"/>
              </w:rPr>
            </w:pPr>
            <w:r w:rsidRPr="00480784">
              <w:rPr>
                <w:rFonts w:ascii="Rockwell" w:hAnsi="Rockwell" w:cstheme="minorHAnsi"/>
                <w:sz w:val="16"/>
                <w:szCs w:val="16"/>
              </w:rPr>
              <w:t>There should be a campaign for equitable eligibility criteria. Families have been subjected to assessment that are not meaningful, and in themselves cause stress.</w:t>
            </w:r>
          </w:p>
        </w:tc>
        <w:tc>
          <w:tcPr>
            <w:tcW w:w="3402" w:type="dxa"/>
          </w:tcPr>
          <w:p w:rsidR="008B0A28" w:rsidRPr="008B0A28" w:rsidRDefault="00A32E6E" w:rsidP="00C01C6C">
            <w:pPr>
              <w:pStyle w:val="ListParagraph"/>
              <w:numPr>
                <w:ilvl w:val="0"/>
                <w:numId w:val="21"/>
              </w:numPr>
              <w:spacing w:beforeLines="30" w:afterLines="30"/>
              <w:ind w:left="174" w:hanging="141"/>
              <w:rPr>
                <w:rFonts w:ascii="Rockwell" w:hAnsi="Rockwell" w:cstheme="minorHAnsi"/>
                <w:sz w:val="16"/>
                <w:szCs w:val="16"/>
              </w:rPr>
            </w:pPr>
            <w:r>
              <w:rPr>
                <w:rFonts w:ascii="Rockwell" w:hAnsi="Rockwell" w:cstheme="minorHAnsi"/>
                <w:sz w:val="16"/>
                <w:szCs w:val="16"/>
              </w:rPr>
              <w:t>C</w:t>
            </w:r>
            <w:r w:rsidR="008B0A28" w:rsidRPr="00480784">
              <w:rPr>
                <w:rFonts w:ascii="Rockwell" w:hAnsi="Rockwell" w:cstheme="minorHAnsi"/>
                <w:sz w:val="16"/>
                <w:szCs w:val="16"/>
              </w:rPr>
              <w:t>onsider providing guidance about charging for services for disabled CYP and their families.</w:t>
            </w:r>
          </w:p>
          <w:p w:rsidR="006B4143" w:rsidRPr="00480784" w:rsidRDefault="006B4143" w:rsidP="00C01C6C">
            <w:pPr>
              <w:pStyle w:val="ListParagraph"/>
              <w:numPr>
                <w:ilvl w:val="0"/>
                <w:numId w:val="21"/>
              </w:numPr>
              <w:spacing w:beforeLines="30" w:afterLines="30"/>
              <w:ind w:left="174" w:hanging="174"/>
              <w:rPr>
                <w:rFonts w:ascii="Rockwell" w:hAnsi="Rockwell" w:cstheme="minorHAnsi"/>
                <w:sz w:val="16"/>
                <w:szCs w:val="16"/>
              </w:rPr>
            </w:pPr>
            <w:r>
              <w:rPr>
                <w:rFonts w:ascii="Rockwell" w:hAnsi="Rockwell" w:cstheme="minorHAnsi"/>
                <w:sz w:val="16"/>
                <w:szCs w:val="16"/>
              </w:rPr>
              <w:t>T</w:t>
            </w:r>
            <w:r w:rsidRPr="00480784">
              <w:rPr>
                <w:rFonts w:ascii="Rockwell" w:hAnsi="Rockwell" w:cstheme="minorHAnsi"/>
                <w:sz w:val="16"/>
                <w:szCs w:val="16"/>
              </w:rPr>
              <w:t xml:space="preserve">ry to share good practice and establish communication mechanisms to ensure a common understanding of the purpose, content and use of eligibility criteria. </w:t>
            </w:r>
          </w:p>
          <w:p w:rsidR="006B4143" w:rsidRPr="00480784" w:rsidRDefault="006B4143" w:rsidP="00C01C6C">
            <w:pPr>
              <w:pStyle w:val="ListParagraph"/>
              <w:numPr>
                <w:ilvl w:val="0"/>
                <w:numId w:val="21"/>
              </w:numPr>
              <w:spacing w:beforeLines="30" w:afterLines="30"/>
              <w:ind w:left="174" w:hanging="174"/>
              <w:rPr>
                <w:rFonts w:ascii="Rockwell" w:hAnsi="Rockwell" w:cstheme="minorHAnsi"/>
                <w:sz w:val="16"/>
                <w:szCs w:val="16"/>
              </w:rPr>
            </w:pPr>
            <w:r>
              <w:rPr>
                <w:rFonts w:ascii="Rockwell" w:hAnsi="Rockwell" w:cstheme="minorHAnsi"/>
                <w:sz w:val="16"/>
                <w:szCs w:val="16"/>
              </w:rPr>
              <w:t>E</w:t>
            </w:r>
            <w:r w:rsidRPr="00480784">
              <w:rPr>
                <w:rFonts w:ascii="Rockwell" w:hAnsi="Rockwell" w:cstheme="minorHAnsi"/>
                <w:sz w:val="16"/>
                <w:szCs w:val="16"/>
              </w:rPr>
              <w:t xml:space="preserve">nsure that staff receive regular and frequent training about how to make </w:t>
            </w:r>
            <w:r w:rsidRPr="00480784">
              <w:rPr>
                <w:rFonts w:ascii="Rockwell" w:hAnsi="Rockwell" w:cstheme="minorHAnsi"/>
                <w:sz w:val="16"/>
                <w:szCs w:val="16"/>
              </w:rPr>
              <w:lastRenderedPageBreak/>
              <w:t>decisions about service provision in the context of all relevant legislation &amp; policies in Scotland.</w:t>
            </w:r>
          </w:p>
          <w:p w:rsidR="00EF7D80" w:rsidRDefault="006B4143" w:rsidP="00C01C6C">
            <w:pPr>
              <w:pStyle w:val="ListParagraph"/>
              <w:numPr>
                <w:ilvl w:val="0"/>
                <w:numId w:val="21"/>
              </w:numPr>
              <w:spacing w:beforeLines="30" w:afterLines="30"/>
              <w:ind w:left="174" w:hanging="174"/>
              <w:rPr>
                <w:rFonts w:ascii="Rockwell" w:hAnsi="Rockwell" w:cstheme="minorHAnsi"/>
                <w:sz w:val="16"/>
                <w:szCs w:val="16"/>
              </w:rPr>
            </w:pPr>
            <w:r>
              <w:rPr>
                <w:rFonts w:ascii="Rockwell" w:hAnsi="Rockwell" w:cstheme="minorHAnsi"/>
                <w:sz w:val="16"/>
                <w:szCs w:val="16"/>
              </w:rPr>
              <w:t>E</w:t>
            </w:r>
            <w:r w:rsidRPr="00480784">
              <w:rPr>
                <w:rFonts w:ascii="Rockwell" w:hAnsi="Rockwell" w:cstheme="minorHAnsi"/>
                <w:sz w:val="16"/>
                <w:szCs w:val="16"/>
              </w:rPr>
              <w:t>nsure that those who are assessed as not being eligible for services are provided with advice or directed to other services that might be able to help and that such cases are monitored and reassessed regularly.</w:t>
            </w:r>
          </w:p>
          <w:p w:rsidR="006B4143" w:rsidRPr="006B4143" w:rsidRDefault="006B4143" w:rsidP="00C01C6C">
            <w:pPr>
              <w:pStyle w:val="ListParagraph"/>
              <w:numPr>
                <w:ilvl w:val="0"/>
                <w:numId w:val="21"/>
              </w:numPr>
              <w:spacing w:beforeLines="30" w:afterLines="30"/>
              <w:ind w:left="174" w:hanging="174"/>
              <w:rPr>
                <w:rFonts w:ascii="Rockwell" w:hAnsi="Rockwell" w:cstheme="minorHAnsi"/>
                <w:sz w:val="16"/>
                <w:szCs w:val="16"/>
              </w:rPr>
            </w:pPr>
            <w:r>
              <w:rPr>
                <w:rFonts w:ascii="Rockwell" w:hAnsi="Rockwell" w:cstheme="minorHAnsi"/>
                <w:sz w:val="16"/>
                <w:szCs w:val="16"/>
              </w:rPr>
              <w:t>B</w:t>
            </w:r>
            <w:r w:rsidR="008B0A28">
              <w:rPr>
                <w:rFonts w:ascii="Rockwell" w:hAnsi="Rockwell" w:cstheme="minorHAnsi"/>
                <w:sz w:val="16"/>
                <w:szCs w:val="16"/>
              </w:rPr>
              <w:t>e</w:t>
            </w:r>
            <w:r w:rsidRPr="00480784">
              <w:rPr>
                <w:rFonts w:ascii="Rockwell" w:hAnsi="Rockwell" w:cstheme="minorHAnsi"/>
                <w:sz w:val="16"/>
                <w:szCs w:val="16"/>
              </w:rPr>
              <w:t xml:space="preserve"> aware that it is not good practice, and previous judicial review16 shows it can be unlawful, to reduce or withdraw services from disabled children or young people without proper re-assessment or review of their needs.</w:t>
            </w:r>
          </w:p>
        </w:tc>
        <w:tc>
          <w:tcPr>
            <w:tcW w:w="4395" w:type="dxa"/>
            <w:vAlign w:val="center"/>
          </w:tcPr>
          <w:p w:rsidR="00EF7D80" w:rsidRPr="00480784" w:rsidRDefault="00EF7D80" w:rsidP="00C01C6C">
            <w:pPr>
              <w:spacing w:beforeLines="30" w:afterLines="30"/>
              <w:rPr>
                <w:rFonts w:ascii="Rockwell" w:hAnsi="Rockwell" w:cstheme="minorHAnsi"/>
                <w:sz w:val="16"/>
                <w:szCs w:val="16"/>
              </w:rPr>
            </w:pPr>
          </w:p>
        </w:tc>
      </w:tr>
      <w:tr w:rsidR="006B4143" w:rsidRPr="00480784" w:rsidTr="006B4143">
        <w:trPr>
          <w:trHeight w:val="396"/>
        </w:trPr>
        <w:tc>
          <w:tcPr>
            <w:tcW w:w="994" w:type="dxa"/>
            <w:vAlign w:val="center"/>
          </w:tcPr>
          <w:p w:rsidR="00EF7D80" w:rsidRPr="00480784" w:rsidRDefault="00EF7D80" w:rsidP="00C01C6C">
            <w:pPr>
              <w:spacing w:beforeLines="30" w:afterLines="30"/>
              <w:jc w:val="center"/>
              <w:rPr>
                <w:rFonts w:ascii="Rockwell" w:hAnsi="Rockwell" w:cstheme="minorHAnsi"/>
                <w:i/>
                <w:sz w:val="16"/>
                <w:szCs w:val="16"/>
              </w:rPr>
            </w:pPr>
            <w:r w:rsidRPr="00480784">
              <w:rPr>
                <w:rFonts w:ascii="Rockwell" w:hAnsi="Rockwell" w:cstheme="minorHAnsi"/>
                <w:i/>
                <w:sz w:val="16"/>
                <w:szCs w:val="16"/>
              </w:rPr>
              <w:lastRenderedPageBreak/>
              <w:t>Monitoring of Section 23</w:t>
            </w:r>
          </w:p>
        </w:tc>
        <w:tc>
          <w:tcPr>
            <w:tcW w:w="4110" w:type="dxa"/>
            <w:vAlign w:val="center"/>
          </w:tcPr>
          <w:p w:rsidR="00EF7D80" w:rsidRPr="00480784" w:rsidRDefault="00EF7D80" w:rsidP="00C01C6C">
            <w:pPr>
              <w:pStyle w:val="ListParagraph"/>
              <w:numPr>
                <w:ilvl w:val="0"/>
                <w:numId w:val="21"/>
              </w:numPr>
              <w:spacing w:beforeLines="30" w:afterLines="30"/>
              <w:ind w:left="174" w:hanging="174"/>
              <w:rPr>
                <w:rFonts w:ascii="Rockwell" w:hAnsi="Rockwell" w:cstheme="minorHAnsi"/>
                <w:sz w:val="16"/>
                <w:szCs w:val="16"/>
              </w:rPr>
            </w:pPr>
            <w:r w:rsidRPr="00480784">
              <w:rPr>
                <w:rFonts w:ascii="Rockwell" w:hAnsi="Rockwell" w:cstheme="minorHAnsi"/>
                <w:sz w:val="16"/>
                <w:szCs w:val="16"/>
              </w:rPr>
              <w:t>Monitor how LA duties under Section 23 of the Children (1995) Act are carried out.</w:t>
            </w:r>
          </w:p>
        </w:tc>
        <w:tc>
          <w:tcPr>
            <w:tcW w:w="3543" w:type="dxa"/>
            <w:vAlign w:val="center"/>
          </w:tcPr>
          <w:p w:rsidR="00EF7D80" w:rsidRPr="00480784" w:rsidRDefault="00EF7D80" w:rsidP="00C01C6C">
            <w:pPr>
              <w:spacing w:beforeLines="30" w:afterLines="30"/>
              <w:rPr>
                <w:rFonts w:ascii="Rockwell" w:hAnsi="Rockwell" w:cstheme="minorHAnsi"/>
                <w:sz w:val="16"/>
                <w:szCs w:val="16"/>
              </w:rPr>
            </w:pPr>
          </w:p>
        </w:tc>
        <w:tc>
          <w:tcPr>
            <w:tcW w:w="3402" w:type="dxa"/>
          </w:tcPr>
          <w:p w:rsidR="00EF7D80" w:rsidRPr="00480784" w:rsidRDefault="00EF7D80" w:rsidP="00C01C6C">
            <w:pPr>
              <w:spacing w:beforeLines="30" w:afterLines="30"/>
              <w:rPr>
                <w:rFonts w:ascii="Rockwell" w:hAnsi="Rockwell" w:cstheme="minorHAnsi"/>
                <w:sz w:val="16"/>
                <w:szCs w:val="16"/>
              </w:rPr>
            </w:pPr>
          </w:p>
        </w:tc>
        <w:tc>
          <w:tcPr>
            <w:tcW w:w="4395" w:type="dxa"/>
            <w:vAlign w:val="center"/>
          </w:tcPr>
          <w:p w:rsidR="00EF7D80" w:rsidRPr="00480784" w:rsidRDefault="00EF7D80" w:rsidP="00C01C6C">
            <w:pPr>
              <w:spacing w:beforeLines="30" w:afterLines="30"/>
              <w:rPr>
                <w:rFonts w:ascii="Rockwell" w:hAnsi="Rockwell" w:cstheme="minorHAnsi"/>
                <w:sz w:val="16"/>
                <w:szCs w:val="16"/>
              </w:rPr>
            </w:pPr>
          </w:p>
        </w:tc>
      </w:tr>
      <w:tr w:rsidR="006B4143" w:rsidRPr="00480784" w:rsidTr="006B4143">
        <w:trPr>
          <w:trHeight w:val="396"/>
        </w:trPr>
        <w:tc>
          <w:tcPr>
            <w:tcW w:w="994" w:type="dxa"/>
            <w:vAlign w:val="center"/>
          </w:tcPr>
          <w:p w:rsidR="00EF7D80" w:rsidRPr="00480784" w:rsidRDefault="00EF7D80" w:rsidP="00C01C6C">
            <w:pPr>
              <w:spacing w:beforeLines="30" w:afterLines="30"/>
              <w:jc w:val="center"/>
              <w:rPr>
                <w:rFonts w:ascii="Rockwell" w:hAnsi="Rockwell" w:cstheme="minorHAnsi"/>
                <w:i/>
                <w:sz w:val="16"/>
                <w:szCs w:val="16"/>
              </w:rPr>
            </w:pPr>
            <w:r w:rsidRPr="00480784">
              <w:rPr>
                <w:rFonts w:ascii="Rockwell" w:eastAsia="Times New Roman" w:hAnsi="Rockwell" w:cstheme="minorHAnsi"/>
                <w:i/>
                <w:sz w:val="16"/>
                <w:szCs w:val="16"/>
                <w:lang w:eastAsia="en-GB"/>
              </w:rPr>
              <w:t>Inclusion</w:t>
            </w:r>
          </w:p>
        </w:tc>
        <w:tc>
          <w:tcPr>
            <w:tcW w:w="4110" w:type="dxa"/>
            <w:vAlign w:val="center"/>
          </w:tcPr>
          <w:p w:rsidR="00EF7D80" w:rsidRPr="00480784" w:rsidRDefault="00A32E6E" w:rsidP="00C01C6C">
            <w:pPr>
              <w:pStyle w:val="ListParagraph"/>
              <w:numPr>
                <w:ilvl w:val="0"/>
                <w:numId w:val="21"/>
              </w:numPr>
              <w:spacing w:beforeLines="30" w:afterLines="30"/>
              <w:ind w:left="174" w:hanging="174"/>
              <w:rPr>
                <w:rFonts w:ascii="Rockwell" w:hAnsi="Rockwell" w:cstheme="minorHAnsi"/>
                <w:sz w:val="16"/>
                <w:szCs w:val="16"/>
              </w:rPr>
            </w:pPr>
            <w:r>
              <w:rPr>
                <w:rFonts w:ascii="Rockwell" w:hAnsi="Rockwell" w:cstheme="minorHAnsi"/>
                <w:sz w:val="16"/>
                <w:szCs w:val="16"/>
              </w:rPr>
              <w:t>Dedicate</w:t>
            </w:r>
            <w:r w:rsidR="00EF7D80" w:rsidRPr="00480784">
              <w:rPr>
                <w:rFonts w:ascii="Rockwell" w:hAnsi="Rockwell" w:cstheme="minorHAnsi"/>
                <w:sz w:val="16"/>
                <w:szCs w:val="16"/>
              </w:rPr>
              <w:t xml:space="preserve"> </w:t>
            </w:r>
            <w:r>
              <w:rPr>
                <w:rFonts w:ascii="Rockwell" w:hAnsi="Rockwell" w:cstheme="minorHAnsi"/>
                <w:sz w:val="16"/>
                <w:szCs w:val="16"/>
              </w:rPr>
              <w:t xml:space="preserve">new projects </w:t>
            </w:r>
            <w:r w:rsidR="00EF7D80" w:rsidRPr="00480784">
              <w:rPr>
                <w:rFonts w:ascii="Rockwell" w:hAnsi="Rockwell" w:cstheme="minorHAnsi"/>
                <w:sz w:val="16"/>
                <w:szCs w:val="16"/>
              </w:rPr>
              <w:t>to disabled children and existing projects should include more disabled children.</w:t>
            </w:r>
          </w:p>
          <w:p w:rsidR="00EF7D80" w:rsidRPr="006B4143" w:rsidRDefault="00EF7D80" w:rsidP="00C01C6C">
            <w:pPr>
              <w:pStyle w:val="ListParagraph"/>
              <w:numPr>
                <w:ilvl w:val="0"/>
                <w:numId w:val="21"/>
              </w:numPr>
              <w:spacing w:beforeLines="30" w:afterLines="30"/>
              <w:ind w:left="174" w:hanging="174"/>
              <w:rPr>
                <w:rFonts w:ascii="Rockwell" w:hAnsi="Rockwell" w:cstheme="minorHAnsi"/>
                <w:sz w:val="16"/>
                <w:szCs w:val="16"/>
              </w:rPr>
            </w:pPr>
            <w:r w:rsidRPr="00480784">
              <w:rPr>
                <w:rFonts w:ascii="Rockwell" w:hAnsi="Rockwell" w:cstheme="minorHAnsi"/>
                <w:sz w:val="16"/>
                <w:szCs w:val="16"/>
              </w:rPr>
              <w:t>Mainstream facilities such as sports centres give free entry to disabled CYP &amp; carers.</w:t>
            </w:r>
          </w:p>
        </w:tc>
        <w:tc>
          <w:tcPr>
            <w:tcW w:w="3543" w:type="dxa"/>
            <w:vAlign w:val="center"/>
          </w:tcPr>
          <w:p w:rsidR="00EF7D80" w:rsidRPr="00480784" w:rsidRDefault="00EF7D80" w:rsidP="00C01C6C">
            <w:pPr>
              <w:spacing w:beforeLines="30" w:afterLines="30"/>
              <w:rPr>
                <w:rFonts w:ascii="Rockwell" w:hAnsi="Rockwell" w:cstheme="minorHAnsi"/>
                <w:sz w:val="16"/>
                <w:szCs w:val="16"/>
              </w:rPr>
            </w:pPr>
          </w:p>
        </w:tc>
        <w:tc>
          <w:tcPr>
            <w:tcW w:w="3402" w:type="dxa"/>
          </w:tcPr>
          <w:p w:rsidR="006B4143" w:rsidRDefault="006B4143" w:rsidP="00C01C6C">
            <w:pPr>
              <w:pStyle w:val="ListParagraph"/>
              <w:numPr>
                <w:ilvl w:val="0"/>
                <w:numId w:val="21"/>
              </w:numPr>
              <w:spacing w:beforeLines="30" w:afterLines="30"/>
              <w:ind w:left="174" w:hanging="174"/>
              <w:rPr>
                <w:rFonts w:ascii="Rockwell" w:hAnsi="Rockwell" w:cstheme="minorHAnsi"/>
                <w:sz w:val="16"/>
                <w:szCs w:val="16"/>
              </w:rPr>
            </w:pPr>
            <w:r>
              <w:rPr>
                <w:rFonts w:ascii="Rockwell" w:hAnsi="Rockwell" w:cstheme="minorHAnsi"/>
                <w:sz w:val="16"/>
                <w:szCs w:val="16"/>
              </w:rPr>
              <w:t>E</w:t>
            </w:r>
            <w:r w:rsidRPr="00480784">
              <w:rPr>
                <w:rFonts w:ascii="Rockwell" w:hAnsi="Rockwell" w:cstheme="minorHAnsi"/>
                <w:sz w:val="16"/>
                <w:szCs w:val="16"/>
              </w:rPr>
              <w:t>nsure plans for children’s services include information about disabled CYP.</w:t>
            </w:r>
          </w:p>
          <w:p w:rsidR="00EF7D80" w:rsidRPr="006B4143" w:rsidRDefault="006B4143" w:rsidP="00C01C6C">
            <w:pPr>
              <w:pStyle w:val="ListParagraph"/>
              <w:numPr>
                <w:ilvl w:val="0"/>
                <w:numId w:val="21"/>
              </w:numPr>
              <w:spacing w:beforeLines="30" w:afterLines="30"/>
              <w:ind w:left="174" w:hanging="174"/>
              <w:rPr>
                <w:rFonts w:ascii="Rockwell" w:hAnsi="Rockwell" w:cstheme="minorHAnsi"/>
                <w:sz w:val="16"/>
                <w:szCs w:val="16"/>
              </w:rPr>
            </w:pPr>
            <w:r>
              <w:rPr>
                <w:rFonts w:ascii="Rockwell" w:hAnsi="Rockwell" w:cstheme="minorHAnsi"/>
                <w:sz w:val="16"/>
                <w:szCs w:val="16"/>
              </w:rPr>
              <w:t>S</w:t>
            </w:r>
            <w:r w:rsidRPr="006B4143">
              <w:rPr>
                <w:rFonts w:ascii="Rockwell" w:hAnsi="Rockwell" w:cstheme="minorHAnsi"/>
                <w:sz w:val="16"/>
                <w:szCs w:val="16"/>
              </w:rPr>
              <w:t>upport mainstream organisations to include disabled CYP.</w:t>
            </w:r>
          </w:p>
        </w:tc>
        <w:tc>
          <w:tcPr>
            <w:tcW w:w="4395" w:type="dxa"/>
            <w:vAlign w:val="center"/>
          </w:tcPr>
          <w:p w:rsidR="00EF7D80" w:rsidRPr="00480784" w:rsidRDefault="00EF7D80" w:rsidP="00C01C6C">
            <w:pPr>
              <w:spacing w:beforeLines="30" w:afterLines="30"/>
              <w:rPr>
                <w:rFonts w:ascii="Rockwell" w:hAnsi="Rockwell" w:cstheme="minorHAnsi"/>
                <w:sz w:val="16"/>
                <w:szCs w:val="16"/>
              </w:rPr>
            </w:pPr>
          </w:p>
        </w:tc>
      </w:tr>
      <w:tr w:rsidR="006B4143" w:rsidRPr="00480784" w:rsidTr="006B4143">
        <w:trPr>
          <w:trHeight w:val="396"/>
        </w:trPr>
        <w:tc>
          <w:tcPr>
            <w:tcW w:w="994" w:type="dxa"/>
            <w:vAlign w:val="center"/>
          </w:tcPr>
          <w:p w:rsidR="00EF7D80" w:rsidRPr="00480784" w:rsidRDefault="00EF7D80" w:rsidP="00C01C6C">
            <w:pPr>
              <w:spacing w:beforeLines="30" w:afterLines="30"/>
              <w:jc w:val="center"/>
              <w:rPr>
                <w:rFonts w:ascii="Rockwell" w:hAnsi="Rockwell" w:cstheme="minorHAnsi"/>
                <w:i/>
                <w:sz w:val="16"/>
                <w:szCs w:val="16"/>
              </w:rPr>
            </w:pPr>
            <w:r w:rsidRPr="00480784">
              <w:rPr>
                <w:rFonts w:ascii="Rockwell" w:hAnsi="Rockwell" w:cstheme="minorHAnsi"/>
                <w:i/>
                <w:sz w:val="16"/>
                <w:szCs w:val="16"/>
              </w:rPr>
              <w:t>Joint Working</w:t>
            </w:r>
          </w:p>
        </w:tc>
        <w:tc>
          <w:tcPr>
            <w:tcW w:w="4110" w:type="dxa"/>
            <w:vAlign w:val="center"/>
          </w:tcPr>
          <w:p w:rsidR="00EF7D80" w:rsidRPr="00480784" w:rsidRDefault="00EF7D80" w:rsidP="00C01C6C">
            <w:pPr>
              <w:pStyle w:val="ListParagraph"/>
              <w:spacing w:beforeLines="30" w:afterLines="30"/>
              <w:ind w:left="174"/>
              <w:rPr>
                <w:rFonts w:ascii="Rockwell" w:hAnsi="Rockwell" w:cstheme="minorHAnsi"/>
                <w:sz w:val="16"/>
                <w:szCs w:val="16"/>
              </w:rPr>
            </w:pPr>
          </w:p>
        </w:tc>
        <w:tc>
          <w:tcPr>
            <w:tcW w:w="3543" w:type="dxa"/>
            <w:vAlign w:val="center"/>
          </w:tcPr>
          <w:p w:rsidR="00EF7D80" w:rsidRPr="006B4143" w:rsidRDefault="00EF7D80" w:rsidP="00C01C6C">
            <w:pPr>
              <w:pStyle w:val="ListParagraph"/>
              <w:numPr>
                <w:ilvl w:val="0"/>
                <w:numId w:val="21"/>
              </w:numPr>
              <w:spacing w:beforeLines="30" w:afterLines="30"/>
              <w:ind w:left="174" w:hanging="174"/>
              <w:rPr>
                <w:rFonts w:ascii="Rockwell" w:hAnsi="Rockwell" w:cstheme="minorHAnsi"/>
                <w:sz w:val="16"/>
                <w:szCs w:val="16"/>
              </w:rPr>
            </w:pPr>
            <w:r w:rsidRPr="00480784">
              <w:rPr>
                <w:rFonts w:ascii="Rockwell" w:hAnsi="Rockwell" w:cstheme="minorHAnsi"/>
                <w:sz w:val="16"/>
                <w:szCs w:val="16"/>
              </w:rPr>
              <w:t>Improve joint working between agencies (particularly education services and social work services, health and voluntary organisations), including by having centrally held information systems relating to disability rights to ensure that families do not fall between the gaps</w:t>
            </w:r>
            <w:r w:rsidRPr="006B4143">
              <w:rPr>
                <w:rFonts w:ascii="Rockwell" w:hAnsi="Rockwell" w:cstheme="minorHAnsi"/>
                <w:sz w:val="16"/>
                <w:szCs w:val="16"/>
              </w:rPr>
              <w:t>.</w:t>
            </w:r>
          </w:p>
          <w:p w:rsidR="00EF7D80" w:rsidRPr="00480784" w:rsidRDefault="00EF7D80" w:rsidP="00C01C6C">
            <w:pPr>
              <w:pStyle w:val="ListParagraph"/>
              <w:numPr>
                <w:ilvl w:val="0"/>
                <w:numId w:val="21"/>
              </w:numPr>
              <w:spacing w:beforeLines="30" w:afterLines="30"/>
              <w:ind w:left="174" w:hanging="174"/>
              <w:rPr>
                <w:rFonts w:ascii="Rockwell" w:hAnsi="Rockwell" w:cstheme="minorHAnsi"/>
                <w:sz w:val="16"/>
                <w:szCs w:val="16"/>
              </w:rPr>
            </w:pPr>
            <w:r w:rsidRPr="00480784">
              <w:rPr>
                <w:rFonts w:ascii="Rockwell" w:hAnsi="Rockwell" w:cstheme="minorHAnsi"/>
                <w:sz w:val="16"/>
                <w:szCs w:val="16"/>
              </w:rPr>
              <w:t>Streamline and simplify the process of care and provision for disabled young children from the current multitude of services and forms.</w:t>
            </w:r>
          </w:p>
        </w:tc>
        <w:tc>
          <w:tcPr>
            <w:tcW w:w="3402" w:type="dxa"/>
          </w:tcPr>
          <w:p w:rsidR="00EF7D80" w:rsidRPr="00480784" w:rsidRDefault="00EF7D80" w:rsidP="00C01C6C">
            <w:pPr>
              <w:spacing w:beforeLines="30" w:afterLines="30"/>
              <w:rPr>
                <w:rFonts w:ascii="Rockwell" w:hAnsi="Rockwell" w:cstheme="minorHAnsi"/>
                <w:sz w:val="16"/>
                <w:szCs w:val="16"/>
              </w:rPr>
            </w:pPr>
          </w:p>
        </w:tc>
        <w:tc>
          <w:tcPr>
            <w:tcW w:w="4395" w:type="dxa"/>
            <w:vAlign w:val="center"/>
          </w:tcPr>
          <w:p w:rsidR="00EF7D80" w:rsidRPr="00480784" w:rsidRDefault="00EF7D80" w:rsidP="00C01C6C">
            <w:pPr>
              <w:spacing w:beforeLines="30" w:afterLines="30"/>
              <w:rPr>
                <w:rFonts w:ascii="Rockwell" w:hAnsi="Rockwell" w:cstheme="minorHAnsi"/>
                <w:sz w:val="16"/>
                <w:szCs w:val="16"/>
              </w:rPr>
            </w:pPr>
          </w:p>
        </w:tc>
      </w:tr>
      <w:tr w:rsidR="006B4143" w:rsidRPr="00480784" w:rsidTr="006B4143">
        <w:trPr>
          <w:trHeight w:val="64"/>
        </w:trPr>
        <w:tc>
          <w:tcPr>
            <w:tcW w:w="994" w:type="dxa"/>
            <w:vAlign w:val="center"/>
          </w:tcPr>
          <w:p w:rsidR="00EF7D80" w:rsidRPr="00480784" w:rsidRDefault="00EF7D80" w:rsidP="00C01C6C">
            <w:pPr>
              <w:spacing w:beforeLines="30" w:afterLines="30"/>
              <w:jc w:val="center"/>
              <w:rPr>
                <w:rFonts w:ascii="Rockwell" w:hAnsi="Rockwell" w:cstheme="minorHAnsi"/>
                <w:i/>
                <w:sz w:val="16"/>
                <w:szCs w:val="16"/>
              </w:rPr>
            </w:pPr>
            <w:r w:rsidRPr="00480784">
              <w:rPr>
                <w:rFonts w:ascii="Rockwell" w:hAnsi="Rockwell" w:cstheme="minorHAnsi"/>
                <w:i/>
                <w:sz w:val="16"/>
                <w:szCs w:val="16"/>
              </w:rPr>
              <w:t>Service quality</w:t>
            </w:r>
          </w:p>
        </w:tc>
        <w:tc>
          <w:tcPr>
            <w:tcW w:w="4110" w:type="dxa"/>
            <w:vAlign w:val="center"/>
          </w:tcPr>
          <w:p w:rsidR="00EF7D80" w:rsidRPr="00480784" w:rsidRDefault="00BB30B6" w:rsidP="00C01C6C">
            <w:pPr>
              <w:pStyle w:val="ListParagraph"/>
              <w:numPr>
                <w:ilvl w:val="0"/>
                <w:numId w:val="1"/>
              </w:numPr>
              <w:spacing w:beforeLines="30" w:afterLines="30"/>
              <w:ind w:left="174" w:hanging="142"/>
              <w:rPr>
                <w:rFonts w:ascii="Rockwell" w:hAnsi="Rockwell" w:cstheme="minorHAnsi"/>
                <w:sz w:val="16"/>
                <w:szCs w:val="16"/>
              </w:rPr>
            </w:pPr>
            <w:r w:rsidRPr="00BB30B6">
              <w:rPr>
                <w:rFonts w:ascii="Rockwell" w:eastAsia="Times New Roman" w:hAnsi="Rockwell" w:cstheme="minorHAnsi"/>
                <w:sz w:val="16"/>
                <w:szCs w:val="16"/>
                <w:lang w:eastAsia="en-GB"/>
              </w:rPr>
              <w:t>The Care Inspectorate should consider exploring the quality of services for disabled CYP.</w:t>
            </w:r>
          </w:p>
        </w:tc>
        <w:tc>
          <w:tcPr>
            <w:tcW w:w="3543" w:type="dxa"/>
            <w:vAlign w:val="center"/>
          </w:tcPr>
          <w:p w:rsidR="00EF7D80" w:rsidRPr="00480784" w:rsidRDefault="00EF7D80" w:rsidP="00C01C6C">
            <w:pPr>
              <w:spacing w:beforeLines="30" w:afterLines="30"/>
              <w:rPr>
                <w:rFonts w:ascii="Rockwell" w:hAnsi="Rockwell" w:cstheme="minorHAnsi"/>
                <w:sz w:val="16"/>
                <w:szCs w:val="16"/>
              </w:rPr>
            </w:pPr>
            <w:r w:rsidRPr="00480784">
              <w:rPr>
                <w:rFonts w:ascii="Rockwell" w:hAnsi="Rockwell" w:cstheme="minorHAnsi"/>
                <w:sz w:val="16"/>
                <w:szCs w:val="16"/>
              </w:rPr>
              <w:t>Services for disabled children should:</w:t>
            </w:r>
          </w:p>
          <w:p w:rsidR="00EF7D80" w:rsidRPr="00480784" w:rsidRDefault="00EF7D80" w:rsidP="00C01C6C">
            <w:pPr>
              <w:pStyle w:val="ListParagraph"/>
              <w:numPr>
                <w:ilvl w:val="0"/>
                <w:numId w:val="1"/>
              </w:numPr>
              <w:spacing w:beforeLines="30" w:afterLines="30"/>
              <w:ind w:left="263" w:hanging="263"/>
              <w:rPr>
                <w:rFonts w:ascii="Rockwell" w:hAnsi="Rockwell" w:cstheme="minorHAnsi"/>
                <w:sz w:val="16"/>
                <w:szCs w:val="16"/>
              </w:rPr>
            </w:pPr>
            <w:r w:rsidRPr="00480784">
              <w:rPr>
                <w:rFonts w:ascii="Rockwell" w:eastAsia="Times New Roman" w:hAnsi="Rockwell" w:cstheme="minorHAnsi"/>
                <w:sz w:val="16"/>
                <w:szCs w:val="16"/>
                <w:lang w:eastAsia="en-GB"/>
              </w:rPr>
              <w:t>Be of a consistently excellent quality</w:t>
            </w:r>
          </w:p>
          <w:p w:rsidR="00EF7D80" w:rsidRPr="00480784" w:rsidRDefault="00EF7D80" w:rsidP="00C01C6C">
            <w:pPr>
              <w:pStyle w:val="ListParagraph"/>
              <w:numPr>
                <w:ilvl w:val="0"/>
                <w:numId w:val="1"/>
              </w:numPr>
              <w:spacing w:beforeLines="30" w:afterLines="30"/>
              <w:ind w:left="263" w:hanging="263"/>
              <w:rPr>
                <w:rFonts w:ascii="Rockwell" w:hAnsi="Rockwell" w:cstheme="minorHAnsi"/>
                <w:sz w:val="16"/>
                <w:szCs w:val="16"/>
              </w:rPr>
            </w:pPr>
            <w:r w:rsidRPr="00480784">
              <w:rPr>
                <w:rFonts w:ascii="Rockwell" w:eastAsia="Times New Roman" w:hAnsi="Rockwell" w:cstheme="minorHAnsi"/>
                <w:sz w:val="16"/>
                <w:szCs w:val="16"/>
                <w:lang w:eastAsia="en-GB"/>
              </w:rPr>
              <w:t>Be appropriate for that individual child and their families</w:t>
            </w:r>
          </w:p>
          <w:p w:rsidR="00EF7D80" w:rsidRPr="00480784" w:rsidRDefault="00EF7D80" w:rsidP="00C01C6C">
            <w:pPr>
              <w:pStyle w:val="ListParagraph"/>
              <w:numPr>
                <w:ilvl w:val="0"/>
                <w:numId w:val="1"/>
              </w:numPr>
              <w:spacing w:beforeLines="30" w:afterLines="30"/>
              <w:ind w:left="263" w:hanging="263"/>
              <w:rPr>
                <w:rFonts w:ascii="Rockwell" w:hAnsi="Rockwell" w:cstheme="minorHAnsi"/>
                <w:sz w:val="16"/>
                <w:szCs w:val="16"/>
              </w:rPr>
            </w:pPr>
            <w:r w:rsidRPr="00480784">
              <w:rPr>
                <w:rFonts w:ascii="Rockwell" w:eastAsia="Times New Roman" w:hAnsi="Rockwell" w:cstheme="minorHAnsi"/>
                <w:sz w:val="16"/>
                <w:szCs w:val="16"/>
                <w:lang w:eastAsia="en-GB"/>
              </w:rPr>
              <w:t>Be timely and flexible (support to all as and when required)</w:t>
            </w:r>
          </w:p>
          <w:p w:rsidR="00EF7D80" w:rsidRPr="00480784" w:rsidRDefault="00EF7D80" w:rsidP="00C01C6C">
            <w:pPr>
              <w:pStyle w:val="ListParagraph"/>
              <w:numPr>
                <w:ilvl w:val="0"/>
                <w:numId w:val="1"/>
              </w:numPr>
              <w:spacing w:beforeLines="30" w:afterLines="30"/>
              <w:ind w:left="263" w:hanging="263"/>
              <w:rPr>
                <w:rFonts w:ascii="Rockwell" w:hAnsi="Rockwell" w:cstheme="minorHAnsi"/>
                <w:sz w:val="16"/>
                <w:szCs w:val="16"/>
              </w:rPr>
            </w:pPr>
            <w:r w:rsidRPr="00480784">
              <w:rPr>
                <w:rFonts w:ascii="Rockwell" w:eastAsia="Times New Roman" w:hAnsi="Rockwell" w:cstheme="minorHAnsi"/>
                <w:sz w:val="16"/>
                <w:szCs w:val="16"/>
                <w:lang w:eastAsia="en-GB"/>
              </w:rPr>
              <w:t>Prioritise value and output of services over cost.</w:t>
            </w:r>
          </w:p>
        </w:tc>
        <w:tc>
          <w:tcPr>
            <w:tcW w:w="3402" w:type="dxa"/>
          </w:tcPr>
          <w:p w:rsidR="00EF7D80" w:rsidRPr="00480784" w:rsidRDefault="00EF7D80" w:rsidP="00C01C6C">
            <w:pPr>
              <w:spacing w:beforeLines="30" w:afterLines="30"/>
              <w:rPr>
                <w:rFonts w:ascii="Rockwell" w:eastAsia="Times New Roman" w:hAnsi="Rockwell" w:cstheme="minorHAnsi"/>
                <w:sz w:val="16"/>
                <w:szCs w:val="16"/>
                <w:lang w:eastAsia="en-GB"/>
              </w:rPr>
            </w:pPr>
          </w:p>
        </w:tc>
        <w:tc>
          <w:tcPr>
            <w:tcW w:w="4395" w:type="dxa"/>
            <w:vAlign w:val="center"/>
          </w:tcPr>
          <w:p w:rsidR="00EF7D80" w:rsidRPr="00480784" w:rsidRDefault="00EF7D80" w:rsidP="00C01C6C">
            <w:pPr>
              <w:spacing w:beforeLines="30" w:afterLines="30"/>
              <w:rPr>
                <w:rFonts w:ascii="Rockwell" w:eastAsia="Times New Roman" w:hAnsi="Rockwell" w:cstheme="minorHAnsi"/>
                <w:sz w:val="16"/>
                <w:szCs w:val="16"/>
                <w:lang w:eastAsia="en-GB"/>
              </w:rPr>
            </w:pPr>
          </w:p>
        </w:tc>
      </w:tr>
      <w:tr w:rsidR="006B4143" w:rsidRPr="00480784" w:rsidTr="006B4143">
        <w:trPr>
          <w:trHeight w:val="648"/>
        </w:trPr>
        <w:tc>
          <w:tcPr>
            <w:tcW w:w="994" w:type="dxa"/>
            <w:vAlign w:val="center"/>
          </w:tcPr>
          <w:p w:rsidR="00EF7D80" w:rsidRPr="00480784" w:rsidRDefault="00EF7D80" w:rsidP="00C01C6C">
            <w:pPr>
              <w:spacing w:beforeLines="30" w:afterLines="30"/>
              <w:jc w:val="center"/>
              <w:rPr>
                <w:rFonts w:ascii="Rockwell" w:eastAsia="Times New Roman" w:hAnsi="Rockwell" w:cstheme="minorHAnsi"/>
                <w:i/>
                <w:sz w:val="16"/>
                <w:szCs w:val="16"/>
                <w:lang w:eastAsia="en-GB"/>
              </w:rPr>
            </w:pPr>
            <w:r w:rsidRPr="00480784">
              <w:rPr>
                <w:rFonts w:ascii="Rockwell" w:eastAsia="Times New Roman" w:hAnsi="Rockwell" w:cstheme="minorHAnsi"/>
                <w:i/>
                <w:sz w:val="16"/>
                <w:szCs w:val="16"/>
                <w:lang w:eastAsia="en-GB"/>
              </w:rPr>
              <w:t>Breaks/ Emergency Care</w:t>
            </w:r>
          </w:p>
        </w:tc>
        <w:tc>
          <w:tcPr>
            <w:tcW w:w="4110" w:type="dxa"/>
            <w:vAlign w:val="center"/>
          </w:tcPr>
          <w:p w:rsidR="00EF7D80" w:rsidRPr="00480784" w:rsidRDefault="00EF7D80" w:rsidP="00C01C6C">
            <w:pPr>
              <w:pStyle w:val="ListParagraph"/>
              <w:numPr>
                <w:ilvl w:val="0"/>
                <w:numId w:val="21"/>
              </w:numPr>
              <w:spacing w:beforeLines="30" w:afterLines="30"/>
              <w:ind w:left="174" w:hanging="141"/>
              <w:rPr>
                <w:rFonts w:ascii="Rockwell" w:hAnsi="Rockwell" w:cstheme="minorHAnsi"/>
                <w:sz w:val="16"/>
                <w:szCs w:val="16"/>
              </w:rPr>
            </w:pPr>
            <w:r w:rsidRPr="00480784">
              <w:rPr>
                <w:rFonts w:ascii="Rockwell" w:hAnsi="Rockwell" w:cstheme="minorHAnsi"/>
                <w:sz w:val="16"/>
                <w:szCs w:val="16"/>
              </w:rPr>
              <w:t xml:space="preserve">Hold the SG to account for its commitment to provide funding for increased respite provision each year and to increase its funding for short breaks for families who have severely disabled children. </w:t>
            </w:r>
          </w:p>
          <w:p w:rsidR="00EF7D80" w:rsidRPr="00A15CCC" w:rsidRDefault="00EF7D80" w:rsidP="00C01C6C">
            <w:pPr>
              <w:pStyle w:val="ListParagraph"/>
              <w:numPr>
                <w:ilvl w:val="0"/>
                <w:numId w:val="21"/>
              </w:numPr>
              <w:spacing w:beforeLines="30" w:afterLines="30"/>
              <w:ind w:left="174" w:hanging="141"/>
              <w:rPr>
                <w:rFonts w:ascii="Rockwell" w:hAnsi="Rockwell" w:cstheme="minorHAnsi"/>
                <w:sz w:val="16"/>
                <w:szCs w:val="16"/>
              </w:rPr>
            </w:pPr>
            <w:r w:rsidRPr="00480784">
              <w:rPr>
                <w:rFonts w:ascii="Rockwell" w:hAnsi="Rockwell" w:cstheme="minorHAnsi"/>
                <w:sz w:val="16"/>
                <w:szCs w:val="16"/>
              </w:rPr>
              <w:lastRenderedPageBreak/>
              <w:t>Discuss with the SG how these commitments will fit with children’s rights to express their views about short breaks and have these taken into account.</w:t>
            </w:r>
          </w:p>
        </w:tc>
        <w:tc>
          <w:tcPr>
            <w:tcW w:w="3543" w:type="dxa"/>
            <w:vAlign w:val="center"/>
          </w:tcPr>
          <w:p w:rsidR="00EF7D80" w:rsidRPr="00A15CCC" w:rsidRDefault="00EF7D80" w:rsidP="00C01C6C">
            <w:pPr>
              <w:pStyle w:val="ListParagraph"/>
              <w:numPr>
                <w:ilvl w:val="0"/>
                <w:numId w:val="1"/>
              </w:numPr>
              <w:spacing w:beforeLines="30" w:afterLines="30"/>
              <w:ind w:left="263" w:hanging="263"/>
              <w:rPr>
                <w:rFonts w:ascii="Rockwell" w:eastAsia="Times New Roman" w:hAnsi="Rockwell" w:cstheme="minorHAnsi"/>
                <w:sz w:val="16"/>
                <w:szCs w:val="16"/>
                <w:lang w:eastAsia="en-GB"/>
              </w:rPr>
            </w:pPr>
            <w:r w:rsidRPr="00A15CCC">
              <w:rPr>
                <w:rFonts w:ascii="Rockwell" w:eastAsia="Times New Roman" w:hAnsi="Rockwell" w:cstheme="minorHAnsi"/>
                <w:sz w:val="16"/>
                <w:szCs w:val="16"/>
                <w:lang w:eastAsia="en-GB"/>
              </w:rPr>
              <w:lastRenderedPageBreak/>
              <w:t>Provide preventative/ early intervention instead of just responding when there is a crisis.</w:t>
            </w:r>
          </w:p>
          <w:p w:rsidR="00EF7D80" w:rsidRPr="00A15CCC" w:rsidRDefault="00EF7D80" w:rsidP="00C01C6C">
            <w:pPr>
              <w:pStyle w:val="ListParagraph"/>
              <w:numPr>
                <w:ilvl w:val="0"/>
                <w:numId w:val="1"/>
              </w:numPr>
              <w:spacing w:beforeLines="30" w:afterLines="30"/>
              <w:ind w:left="263" w:hanging="263"/>
              <w:rPr>
                <w:rFonts w:ascii="Rockwell" w:eastAsia="Times New Roman" w:hAnsi="Rockwell" w:cstheme="minorHAnsi"/>
                <w:sz w:val="16"/>
                <w:szCs w:val="16"/>
                <w:lang w:eastAsia="en-GB"/>
              </w:rPr>
            </w:pPr>
            <w:r w:rsidRPr="00A15CCC">
              <w:rPr>
                <w:rFonts w:ascii="Rockwell" w:eastAsia="Times New Roman" w:hAnsi="Rockwell" w:cstheme="minorHAnsi"/>
                <w:sz w:val="16"/>
                <w:szCs w:val="16"/>
                <w:lang w:eastAsia="en-GB"/>
              </w:rPr>
              <w:t>Improve funding for community and home respite for families</w:t>
            </w:r>
            <w:r w:rsidR="00A15CCC">
              <w:rPr>
                <w:rFonts w:ascii="Rockwell" w:eastAsia="Times New Roman" w:hAnsi="Rockwell" w:cstheme="minorHAnsi"/>
                <w:sz w:val="16"/>
                <w:szCs w:val="16"/>
                <w:lang w:eastAsia="en-GB"/>
              </w:rPr>
              <w:t>.</w:t>
            </w:r>
          </w:p>
          <w:p w:rsidR="00EF7D80" w:rsidRPr="00480784" w:rsidRDefault="00EF7D80" w:rsidP="00C01C6C">
            <w:pPr>
              <w:spacing w:beforeLines="30" w:afterLines="30"/>
              <w:rPr>
                <w:rFonts w:ascii="Rockwell" w:eastAsia="Times New Roman" w:hAnsi="Rockwell" w:cstheme="minorHAnsi"/>
                <w:sz w:val="16"/>
                <w:szCs w:val="16"/>
                <w:lang w:eastAsia="en-GB"/>
              </w:rPr>
            </w:pPr>
          </w:p>
        </w:tc>
        <w:tc>
          <w:tcPr>
            <w:tcW w:w="3402" w:type="dxa"/>
          </w:tcPr>
          <w:p w:rsidR="00EF7D80" w:rsidRPr="00480784" w:rsidRDefault="00A15CCC" w:rsidP="00C01C6C">
            <w:pPr>
              <w:pStyle w:val="ListParagraph"/>
              <w:numPr>
                <w:ilvl w:val="0"/>
                <w:numId w:val="1"/>
              </w:numPr>
              <w:spacing w:beforeLines="30" w:afterLines="30"/>
              <w:ind w:left="263" w:hanging="263"/>
              <w:rPr>
                <w:rFonts w:ascii="Rockwell" w:eastAsia="Times New Roman" w:hAnsi="Rockwell" w:cstheme="minorHAnsi"/>
                <w:sz w:val="16"/>
                <w:szCs w:val="16"/>
                <w:lang w:eastAsia="en-GB"/>
              </w:rPr>
            </w:pPr>
            <w:r>
              <w:rPr>
                <w:rFonts w:ascii="Rockwell" w:eastAsia="Times New Roman" w:hAnsi="Rockwell" w:cstheme="minorHAnsi"/>
                <w:sz w:val="16"/>
                <w:szCs w:val="16"/>
                <w:lang w:eastAsia="en-GB"/>
              </w:rPr>
              <w:lastRenderedPageBreak/>
              <w:t>Ensure</w:t>
            </w:r>
            <w:r w:rsidRPr="00A15CCC">
              <w:rPr>
                <w:rFonts w:ascii="Rockwell" w:eastAsia="Times New Roman" w:hAnsi="Rockwell" w:cstheme="minorHAnsi"/>
                <w:sz w:val="16"/>
                <w:szCs w:val="16"/>
                <w:lang w:eastAsia="en-GB"/>
              </w:rPr>
              <w:t xml:space="preserve"> arrangements </w:t>
            </w:r>
            <w:r>
              <w:rPr>
                <w:rFonts w:ascii="Rockwell" w:eastAsia="Times New Roman" w:hAnsi="Rockwell" w:cstheme="minorHAnsi"/>
                <w:sz w:val="16"/>
                <w:szCs w:val="16"/>
                <w:lang w:eastAsia="en-GB"/>
              </w:rPr>
              <w:t xml:space="preserve">are </w:t>
            </w:r>
            <w:r w:rsidRPr="00A15CCC">
              <w:rPr>
                <w:rFonts w:ascii="Rockwell" w:eastAsia="Times New Roman" w:hAnsi="Rockwell" w:cstheme="minorHAnsi"/>
                <w:sz w:val="16"/>
                <w:szCs w:val="16"/>
                <w:lang w:eastAsia="en-GB"/>
              </w:rPr>
              <w:t>in place for emergency care of disabled children and young people, when needed, provided by people and within settings with which the child is already familiar.</w:t>
            </w:r>
          </w:p>
        </w:tc>
        <w:tc>
          <w:tcPr>
            <w:tcW w:w="4395" w:type="dxa"/>
            <w:vAlign w:val="center"/>
          </w:tcPr>
          <w:p w:rsidR="00EF7D80" w:rsidRPr="00480784" w:rsidRDefault="00EF7D80" w:rsidP="00C01C6C">
            <w:pPr>
              <w:spacing w:beforeLines="30" w:afterLines="30"/>
              <w:rPr>
                <w:rFonts w:ascii="Rockwell" w:eastAsia="Times New Roman" w:hAnsi="Rockwell" w:cstheme="minorHAnsi"/>
                <w:sz w:val="16"/>
                <w:szCs w:val="16"/>
                <w:lang w:eastAsia="en-GB"/>
              </w:rPr>
            </w:pPr>
          </w:p>
        </w:tc>
      </w:tr>
      <w:tr w:rsidR="006B4143" w:rsidRPr="00480784" w:rsidTr="006B4143">
        <w:trPr>
          <w:trHeight w:val="648"/>
        </w:trPr>
        <w:tc>
          <w:tcPr>
            <w:tcW w:w="994" w:type="dxa"/>
            <w:vAlign w:val="center"/>
          </w:tcPr>
          <w:p w:rsidR="00EF7D80" w:rsidRPr="00480784" w:rsidRDefault="00EF7D80" w:rsidP="00C01C6C">
            <w:pPr>
              <w:spacing w:beforeLines="30" w:afterLines="30"/>
              <w:jc w:val="center"/>
              <w:rPr>
                <w:rFonts w:ascii="Rockwell" w:eastAsia="Times New Roman" w:hAnsi="Rockwell" w:cstheme="minorHAnsi"/>
                <w:i/>
                <w:sz w:val="16"/>
                <w:szCs w:val="16"/>
                <w:lang w:eastAsia="en-GB"/>
              </w:rPr>
            </w:pPr>
            <w:r w:rsidRPr="00480784">
              <w:rPr>
                <w:rFonts w:ascii="Rockwell" w:eastAsia="Times New Roman" w:hAnsi="Rockwell" w:cstheme="minorHAnsi"/>
                <w:i/>
                <w:sz w:val="16"/>
                <w:szCs w:val="16"/>
                <w:lang w:eastAsia="en-GB"/>
              </w:rPr>
              <w:lastRenderedPageBreak/>
              <w:t>Recreation, play and wellbeing</w:t>
            </w:r>
          </w:p>
        </w:tc>
        <w:tc>
          <w:tcPr>
            <w:tcW w:w="4110" w:type="dxa"/>
            <w:vAlign w:val="center"/>
          </w:tcPr>
          <w:p w:rsidR="00BB30B6" w:rsidRDefault="00EF7D80" w:rsidP="00C01C6C">
            <w:pPr>
              <w:pStyle w:val="ListParagraph"/>
              <w:numPr>
                <w:ilvl w:val="0"/>
                <w:numId w:val="21"/>
              </w:numPr>
              <w:spacing w:beforeLines="30" w:afterLines="30"/>
              <w:ind w:left="174" w:hanging="141"/>
              <w:rPr>
                <w:rFonts w:ascii="Rockwell" w:hAnsi="Rockwell" w:cstheme="minorHAnsi"/>
                <w:sz w:val="16"/>
                <w:szCs w:val="16"/>
              </w:rPr>
            </w:pPr>
            <w:r w:rsidRPr="00480784">
              <w:rPr>
                <w:rFonts w:ascii="Rockwell" w:hAnsi="Rockwell" w:cstheme="minorHAnsi"/>
                <w:sz w:val="16"/>
                <w:szCs w:val="16"/>
              </w:rPr>
              <w:t>Work with mainstream recreation and social providers to build their capacity to welcome and include disabled children, highlighting the need for support with friendship, communicati</w:t>
            </w:r>
            <w:r w:rsidR="00BB30B6">
              <w:rPr>
                <w:rFonts w:ascii="Rockwell" w:hAnsi="Rockwell" w:cstheme="minorHAnsi"/>
                <w:sz w:val="16"/>
                <w:szCs w:val="16"/>
              </w:rPr>
              <w:t>on and accessible transport.</w:t>
            </w:r>
          </w:p>
          <w:p w:rsidR="00EF7D80" w:rsidRPr="00480784" w:rsidRDefault="00BB30B6" w:rsidP="00C01C6C">
            <w:pPr>
              <w:pStyle w:val="ListParagraph"/>
              <w:numPr>
                <w:ilvl w:val="0"/>
                <w:numId w:val="21"/>
              </w:numPr>
              <w:spacing w:beforeLines="30" w:afterLines="30"/>
              <w:ind w:left="174" w:hanging="141"/>
              <w:rPr>
                <w:rFonts w:ascii="Rockwell" w:hAnsi="Rockwell" w:cstheme="minorHAnsi"/>
                <w:sz w:val="16"/>
                <w:szCs w:val="16"/>
              </w:rPr>
            </w:pPr>
            <w:r>
              <w:rPr>
                <w:rFonts w:ascii="Rockwell" w:hAnsi="Rockwell" w:cstheme="minorHAnsi"/>
                <w:sz w:val="16"/>
                <w:szCs w:val="16"/>
              </w:rPr>
              <w:t>R</w:t>
            </w:r>
            <w:r w:rsidR="00EF7D80" w:rsidRPr="00480784">
              <w:rPr>
                <w:rFonts w:ascii="Rockwell" w:hAnsi="Rockwell" w:cstheme="minorHAnsi"/>
                <w:sz w:val="16"/>
                <w:szCs w:val="16"/>
              </w:rPr>
              <w:t xml:space="preserve">aise the issue of sex education </w:t>
            </w:r>
            <w:r>
              <w:rPr>
                <w:rFonts w:ascii="Rockwell" w:hAnsi="Rockwell" w:cstheme="minorHAnsi"/>
                <w:sz w:val="16"/>
                <w:szCs w:val="16"/>
              </w:rPr>
              <w:t xml:space="preserve">for disabled CYP </w:t>
            </w:r>
            <w:r w:rsidR="00EF7D80" w:rsidRPr="00480784">
              <w:rPr>
                <w:rFonts w:ascii="Rockwell" w:hAnsi="Rockwell" w:cstheme="minorHAnsi"/>
                <w:sz w:val="16"/>
                <w:szCs w:val="16"/>
              </w:rPr>
              <w:t>with local education authorities.</w:t>
            </w:r>
          </w:p>
          <w:p w:rsidR="00EF7D80" w:rsidRPr="00480784" w:rsidRDefault="00A15CCC" w:rsidP="00C01C6C">
            <w:pPr>
              <w:pStyle w:val="ListParagraph"/>
              <w:numPr>
                <w:ilvl w:val="0"/>
                <w:numId w:val="21"/>
              </w:numPr>
              <w:spacing w:beforeLines="30" w:afterLines="30"/>
              <w:ind w:left="174" w:hanging="141"/>
              <w:rPr>
                <w:rFonts w:ascii="Rockwell" w:hAnsi="Rockwell" w:cstheme="minorHAnsi"/>
                <w:sz w:val="16"/>
                <w:szCs w:val="16"/>
              </w:rPr>
            </w:pPr>
            <w:r>
              <w:rPr>
                <w:rFonts w:ascii="Rockwell" w:hAnsi="Rockwell" w:cstheme="minorHAnsi"/>
                <w:sz w:val="16"/>
                <w:szCs w:val="16"/>
              </w:rPr>
              <w:t>Create/ advocate for</w:t>
            </w:r>
            <w:r w:rsidR="00EF7D80" w:rsidRPr="00480784">
              <w:rPr>
                <w:rFonts w:ascii="Rockwell" w:hAnsi="Rockwell" w:cstheme="minorHAnsi"/>
                <w:sz w:val="16"/>
                <w:szCs w:val="16"/>
              </w:rPr>
              <w:t xml:space="preserve"> more social and recreational opportunities for disabled CYP, including those with life-limiting conditions. </w:t>
            </w:r>
          </w:p>
          <w:p w:rsidR="00EF7D80" w:rsidRPr="00480784" w:rsidRDefault="00EF7D80" w:rsidP="00C01C6C">
            <w:pPr>
              <w:pStyle w:val="ListParagraph"/>
              <w:numPr>
                <w:ilvl w:val="0"/>
                <w:numId w:val="21"/>
              </w:numPr>
              <w:spacing w:beforeLines="30" w:afterLines="30"/>
              <w:ind w:left="174" w:hanging="141"/>
              <w:rPr>
                <w:rFonts w:ascii="Rockwell" w:hAnsi="Rockwell" w:cstheme="minorHAnsi"/>
                <w:sz w:val="16"/>
                <w:szCs w:val="16"/>
              </w:rPr>
            </w:pPr>
            <w:r w:rsidRPr="00480784">
              <w:rPr>
                <w:rFonts w:ascii="Rockwell" w:hAnsi="Rockwell" w:cstheme="minorHAnsi"/>
                <w:sz w:val="16"/>
                <w:szCs w:val="16"/>
              </w:rPr>
              <w:t xml:space="preserve">Providers should give attention to accessible transport. </w:t>
            </w:r>
          </w:p>
        </w:tc>
        <w:tc>
          <w:tcPr>
            <w:tcW w:w="3543" w:type="dxa"/>
            <w:vAlign w:val="center"/>
          </w:tcPr>
          <w:p w:rsidR="00EF7D80" w:rsidRPr="00A15CCC" w:rsidRDefault="00A15CCC" w:rsidP="00C01C6C">
            <w:pPr>
              <w:pStyle w:val="ListParagraph"/>
              <w:numPr>
                <w:ilvl w:val="0"/>
                <w:numId w:val="21"/>
              </w:numPr>
              <w:spacing w:beforeLines="30" w:afterLines="30"/>
              <w:ind w:left="174" w:hanging="141"/>
              <w:rPr>
                <w:rFonts w:ascii="Rockwell" w:hAnsi="Rockwell" w:cstheme="minorHAnsi"/>
                <w:sz w:val="16"/>
                <w:szCs w:val="16"/>
              </w:rPr>
            </w:pPr>
            <w:r>
              <w:rPr>
                <w:rFonts w:ascii="Rockwell" w:hAnsi="Rockwell" w:cstheme="minorHAnsi"/>
                <w:sz w:val="16"/>
                <w:szCs w:val="16"/>
              </w:rPr>
              <w:t>I</w:t>
            </w:r>
            <w:r w:rsidR="00EF7D80" w:rsidRPr="00A15CCC">
              <w:rPr>
                <w:rFonts w:ascii="Rockwell" w:hAnsi="Rockwell" w:cstheme="minorHAnsi"/>
                <w:sz w:val="16"/>
                <w:szCs w:val="16"/>
              </w:rPr>
              <w:t>nclude leisure and play and opportunities for social interaction</w:t>
            </w:r>
            <w:r>
              <w:rPr>
                <w:rFonts w:ascii="Rockwell" w:hAnsi="Rockwell" w:cstheme="minorHAnsi"/>
                <w:sz w:val="16"/>
                <w:szCs w:val="16"/>
              </w:rPr>
              <w:t xml:space="preserve"> in services for disabled children</w:t>
            </w:r>
            <w:r w:rsidR="00EF7D80" w:rsidRPr="00A15CCC">
              <w:rPr>
                <w:rFonts w:ascii="Rockwell" w:hAnsi="Rockwell" w:cstheme="minorHAnsi"/>
                <w:sz w:val="16"/>
                <w:szCs w:val="16"/>
              </w:rPr>
              <w:t xml:space="preserve"> as a priority rather than a luxury (and therefore be properly funded)</w:t>
            </w:r>
            <w:r>
              <w:rPr>
                <w:rFonts w:ascii="Rockwell" w:hAnsi="Rockwell" w:cstheme="minorHAnsi"/>
                <w:sz w:val="16"/>
                <w:szCs w:val="16"/>
              </w:rPr>
              <w:t>.</w:t>
            </w:r>
          </w:p>
        </w:tc>
        <w:tc>
          <w:tcPr>
            <w:tcW w:w="3402" w:type="dxa"/>
          </w:tcPr>
          <w:p w:rsidR="00EF7D80" w:rsidRPr="00480784" w:rsidRDefault="00EF7D80" w:rsidP="00C01C6C">
            <w:pPr>
              <w:spacing w:beforeLines="30" w:afterLines="30"/>
              <w:rPr>
                <w:rFonts w:ascii="Rockwell" w:eastAsia="Times New Roman" w:hAnsi="Rockwell" w:cstheme="minorHAnsi"/>
                <w:sz w:val="16"/>
                <w:szCs w:val="16"/>
                <w:lang w:eastAsia="en-GB"/>
              </w:rPr>
            </w:pPr>
          </w:p>
        </w:tc>
        <w:tc>
          <w:tcPr>
            <w:tcW w:w="4395" w:type="dxa"/>
            <w:vAlign w:val="center"/>
          </w:tcPr>
          <w:p w:rsidR="00EF7D80" w:rsidRPr="00480784" w:rsidRDefault="00EF7D80" w:rsidP="00C01C6C">
            <w:pPr>
              <w:spacing w:beforeLines="30" w:afterLines="30"/>
              <w:rPr>
                <w:rFonts w:ascii="Rockwell" w:eastAsia="Times New Roman" w:hAnsi="Rockwell" w:cstheme="minorHAnsi"/>
                <w:sz w:val="16"/>
                <w:szCs w:val="16"/>
                <w:lang w:eastAsia="en-GB"/>
              </w:rPr>
            </w:pPr>
          </w:p>
        </w:tc>
      </w:tr>
      <w:tr w:rsidR="006B4143" w:rsidRPr="00480784" w:rsidTr="006B4143">
        <w:trPr>
          <w:trHeight w:val="648"/>
        </w:trPr>
        <w:tc>
          <w:tcPr>
            <w:tcW w:w="994" w:type="dxa"/>
            <w:vAlign w:val="center"/>
          </w:tcPr>
          <w:p w:rsidR="00EF7D80" w:rsidRPr="00480784" w:rsidRDefault="00EF7D80" w:rsidP="00C01C6C">
            <w:pPr>
              <w:spacing w:beforeLines="30" w:afterLines="30"/>
              <w:jc w:val="center"/>
              <w:rPr>
                <w:rFonts w:ascii="Rockwell" w:eastAsia="Times New Roman" w:hAnsi="Rockwell" w:cstheme="minorHAnsi"/>
                <w:i/>
                <w:sz w:val="16"/>
                <w:szCs w:val="16"/>
                <w:lang w:eastAsia="en-GB"/>
              </w:rPr>
            </w:pPr>
            <w:r w:rsidRPr="00480784">
              <w:rPr>
                <w:rFonts w:ascii="Rockwell" w:eastAsia="Times New Roman" w:hAnsi="Rockwell" w:cstheme="minorHAnsi"/>
                <w:i/>
                <w:sz w:val="16"/>
                <w:szCs w:val="16"/>
                <w:lang w:eastAsia="en-GB"/>
              </w:rPr>
              <w:t>Vulnerable groups</w:t>
            </w:r>
          </w:p>
        </w:tc>
        <w:tc>
          <w:tcPr>
            <w:tcW w:w="4110" w:type="dxa"/>
            <w:vAlign w:val="center"/>
          </w:tcPr>
          <w:p w:rsidR="00EF7D80" w:rsidRPr="00480784" w:rsidRDefault="00EF7D80" w:rsidP="00C01C6C">
            <w:pPr>
              <w:pStyle w:val="ListParagraph"/>
              <w:numPr>
                <w:ilvl w:val="0"/>
                <w:numId w:val="21"/>
              </w:numPr>
              <w:spacing w:beforeLines="30" w:afterLines="30"/>
              <w:ind w:left="174" w:hanging="141"/>
              <w:rPr>
                <w:rFonts w:ascii="Rockwell" w:hAnsi="Rockwell" w:cstheme="minorHAnsi"/>
                <w:sz w:val="16"/>
                <w:szCs w:val="16"/>
              </w:rPr>
            </w:pPr>
            <w:r w:rsidRPr="00480784">
              <w:rPr>
                <w:rFonts w:ascii="Rockwell" w:hAnsi="Rockwell" w:cstheme="minorHAnsi"/>
                <w:sz w:val="16"/>
                <w:szCs w:val="16"/>
              </w:rPr>
              <w:t>Focus on promoting the rights and social inclusion of neglected groups, including looked after disabled children, children at residential school or in hospital, LGBT disabled children, disabled children from travelling families and others.</w:t>
            </w:r>
          </w:p>
          <w:p w:rsidR="00EF7D80" w:rsidRPr="00480784" w:rsidRDefault="00EF7D80" w:rsidP="00C01C6C">
            <w:pPr>
              <w:pStyle w:val="ListParagraph"/>
              <w:numPr>
                <w:ilvl w:val="0"/>
                <w:numId w:val="21"/>
              </w:numPr>
              <w:spacing w:beforeLines="30" w:afterLines="30"/>
              <w:ind w:left="174" w:hanging="141"/>
              <w:rPr>
                <w:rFonts w:ascii="Rockwell" w:hAnsi="Rockwell" w:cstheme="minorHAnsi"/>
                <w:sz w:val="16"/>
                <w:szCs w:val="16"/>
              </w:rPr>
            </w:pPr>
            <w:r w:rsidRPr="00480784">
              <w:rPr>
                <w:rFonts w:ascii="Rockwell" w:hAnsi="Rockwell" w:cstheme="minorHAnsi"/>
                <w:sz w:val="16"/>
                <w:szCs w:val="16"/>
              </w:rPr>
              <w:t>Prioritise tackling the social and economic disadvantage facing disabled children</w:t>
            </w:r>
            <w:r w:rsidR="00BB30B6">
              <w:rPr>
                <w:rFonts w:ascii="Rockwell" w:hAnsi="Rockwell" w:cstheme="minorHAnsi"/>
                <w:sz w:val="16"/>
                <w:szCs w:val="16"/>
              </w:rPr>
              <w:t>.</w:t>
            </w:r>
          </w:p>
          <w:p w:rsidR="00EF7D80" w:rsidRPr="00480784" w:rsidRDefault="00EF7D80" w:rsidP="00C01C6C">
            <w:pPr>
              <w:pStyle w:val="ListParagraph"/>
              <w:numPr>
                <w:ilvl w:val="0"/>
                <w:numId w:val="21"/>
              </w:numPr>
              <w:spacing w:beforeLines="30" w:afterLines="30"/>
              <w:ind w:left="174" w:hanging="141"/>
              <w:rPr>
                <w:rFonts w:ascii="Rockwell" w:hAnsi="Rockwell" w:cstheme="minorHAnsi"/>
                <w:sz w:val="16"/>
                <w:szCs w:val="16"/>
              </w:rPr>
            </w:pPr>
            <w:r w:rsidRPr="00480784">
              <w:rPr>
                <w:rFonts w:ascii="Rockwell" w:hAnsi="Rockwell" w:cstheme="minorHAnsi"/>
                <w:sz w:val="16"/>
                <w:szCs w:val="16"/>
              </w:rPr>
              <w:t>Public services should identify and actively reach out to disabled children and young people from BME communities, where appropriate through recognised community leaders.</w:t>
            </w:r>
          </w:p>
        </w:tc>
        <w:tc>
          <w:tcPr>
            <w:tcW w:w="3543" w:type="dxa"/>
            <w:vAlign w:val="center"/>
          </w:tcPr>
          <w:p w:rsidR="00EF7D80" w:rsidRPr="00A15CCC" w:rsidRDefault="00A15CCC" w:rsidP="00C01C6C">
            <w:pPr>
              <w:pStyle w:val="ListParagraph"/>
              <w:numPr>
                <w:ilvl w:val="0"/>
                <w:numId w:val="21"/>
              </w:numPr>
              <w:spacing w:beforeLines="30" w:afterLines="30"/>
              <w:ind w:left="174" w:hanging="141"/>
              <w:rPr>
                <w:rFonts w:ascii="Rockwell" w:hAnsi="Rockwell" w:cstheme="minorHAnsi"/>
                <w:sz w:val="16"/>
                <w:szCs w:val="16"/>
              </w:rPr>
            </w:pPr>
            <w:r>
              <w:rPr>
                <w:rFonts w:ascii="Rockwell" w:hAnsi="Rockwell" w:cstheme="minorHAnsi"/>
                <w:sz w:val="16"/>
                <w:szCs w:val="16"/>
              </w:rPr>
              <w:t>A</w:t>
            </w:r>
            <w:r w:rsidR="00EF7D80" w:rsidRPr="00A15CCC">
              <w:rPr>
                <w:rFonts w:ascii="Rockwell" w:hAnsi="Rockwell" w:cstheme="minorHAnsi"/>
                <w:sz w:val="16"/>
                <w:szCs w:val="16"/>
              </w:rPr>
              <w:t>dequately reflect the needs of disabled BME CYP and other vulnerable groups</w:t>
            </w:r>
            <w:r>
              <w:rPr>
                <w:rFonts w:ascii="Rockwell" w:hAnsi="Rockwell" w:cstheme="minorHAnsi"/>
                <w:sz w:val="16"/>
                <w:szCs w:val="16"/>
              </w:rPr>
              <w:t xml:space="preserve"> in service provision.</w:t>
            </w:r>
          </w:p>
        </w:tc>
        <w:tc>
          <w:tcPr>
            <w:tcW w:w="3402" w:type="dxa"/>
          </w:tcPr>
          <w:p w:rsidR="00EF7D80" w:rsidRPr="00480784" w:rsidRDefault="00EF7D80" w:rsidP="00C01C6C">
            <w:pPr>
              <w:spacing w:beforeLines="30" w:afterLines="30"/>
              <w:rPr>
                <w:rFonts w:ascii="Rockwell" w:eastAsia="Times New Roman" w:hAnsi="Rockwell" w:cstheme="minorHAnsi"/>
                <w:sz w:val="16"/>
                <w:szCs w:val="16"/>
                <w:lang w:eastAsia="en-GB"/>
              </w:rPr>
            </w:pPr>
          </w:p>
        </w:tc>
        <w:tc>
          <w:tcPr>
            <w:tcW w:w="4395" w:type="dxa"/>
            <w:vAlign w:val="center"/>
          </w:tcPr>
          <w:p w:rsidR="00EF7D80" w:rsidRPr="00480784" w:rsidRDefault="00EF7D80" w:rsidP="00C01C6C">
            <w:pPr>
              <w:spacing w:beforeLines="30" w:afterLines="30"/>
              <w:rPr>
                <w:rFonts w:ascii="Rockwell" w:eastAsia="Times New Roman" w:hAnsi="Rockwell" w:cstheme="minorHAnsi"/>
                <w:sz w:val="16"/>
                <w:szCs w:val="16"/>
                <w:lang w:eastAsia="en-GB"/>
              </w:rPr>
            </w:pPr>
          </w:p>
        </w:tc>
      </w:tr>
      <w:tr w:rsidR="006B4143" w:rsidRPr="00480784" w:rsidTr="00BB30B6">
        <w:trPr>
          <w:trHeight w:val="696"/>
        </w:trPr>
        <w:tc>
          <w:tcPr>
            <w:tcW w:w="994" w:type="dxa"/>
            <w:vAlign w:val="center"/>
          </w:tcPr>
          <w:p w:rsidR="00EF7D80" w:rsidRPr="00480784" w:rsidRDefault="00EF7D80" w:rsidP="00C01C6C">
            <w:pPr>
              <w:spacing w:beforeLines="30" w:afterLines="30"/>
              <w:jc w:val="center"/>
              <w:rPr>
                <w:rFonts w:ascii="Rockwell" w:eastAsia="Times New Roman" w:hAnsi="Rockwell" w:cstheme="minorHAnsi"/>
                <w:i/>
                <w:sz w:val="16"/>
                <w:szCs w:val="16"/>
                <w:lang w:eastAsia="en-GB"/>
              </w:rPr>
            </w:pPr>
            <w:r w:rsidRPr="00480784">
              <w:rPr>
                <w:rFonts w:ascii="Rockwell" w:eastAsia="Times New Roman" w:hAnsi="Rockwell" w:cstheme="minorHAnsi"/>
                <w:i/>
                <w:sz w:val="16"/>
                <w:szCs w:val="16"/>
                <w:lang w:eastAsia="en-GB"/>
              </w:rPr>
              <w:t>Specialist equipment</w:t>
            </w:r>
          </w:p>
        </w:tc>
        <w:tc>
          <w:tcPr>
            <w:tcW w:w="4110" w:type="dxa"/>
            <w:vAlign w:val="center"/>
          </w:tcPr>
          <w:p w:rsidR="00EF7D80" w:rsidRPr="00480784" w:rsidRDefault="00EF7D80" w:rsidP="00C01C6C">
            <w:pPr>
              <w:pStyle w:val="ListParagraph"/>
              <w:spacing w:beforeLines="30" w:afterLines="30"/>
              <w:ind w:left="174"/>
              <w:rPr>
                <w:rFonts w:ascii="Rockwell" w:hAnsi="Rockwell" w:cstheme="minorHAnsi"/>
                <w:sz w:val="16"/>
                <w:szCs w:val="16"/>
              </w:rPr>
            </w:pPr>
          </w:p>
        </w:tc>
        <w:tc>
          <w:tcPr>
            <w:tcW w:w="3543" w:type="dxa"/>
            <w:vAlign w:val="center"/>
          </w:tcPr>
          <w:p w:rsidR="00EF7D80" w:rsidRPr="00480784" w:rsidRDefault="00EF7D80" w:rsidP="00C01C6C">
            <w:pPr>
              <w:spacing w:beforeLines="30" w:afterLines="30"/>
              <w:rPr>
                <w:rFonts w:ascii="Rockwell" w:eastAsia="Times New Roman" w:hAnsi="Rockwell" w:cstheme="minorHAnsi"/>
                <w:sz w:val="16"/>
                <w:szCs w:val="16"/>
                <w:lang w:eastAsia="en-GB"/>
              </w:rPr>
            </w:pPr>
          </w:p>
        </w:tc>
        <w:tc>
          <w:tcPr>
            <w:tcW w:w="3402" w:type="dxa"/>
          </w:tcPr>
          <w:p w:rsidR="00EF7D80" w:rsidRPr="00480784" w:rsidRDefault="00A15CCC" w:rsidP="00C01C6C">
            <w:pPr>
              <w:pStyle w:val="ListParagraph"/>
              <w:numPr>
                <w:ilvl w:val="0"/>
                <w:numId w:val="21"/>
              </w:numPr>
              <w:spacing w:beforeLines="30" w:afterLines="30"/>
              <w:ind w:left="174" w:hanging="141"/>
              <w:rPr>
                <w:rFonts w:ascii="Rockwell" w:eastAsia="Times New Roman" w:hAnsi="Rockwell" w:cstheme="minorHAnsi"/>
                <w:sz w:val="16"/>
                <w:szCs w:val="16"/>
                <w:lang w:eastAsia="en-GB"/>
              </w:rPr>
            </w:pPr>
            <w:r>
              <w:rPr>
                <w:rFonts w:ascii="Rockwell" w:hAnsi="Rockwell" w:cstheme="minorHAnsi"/>
                <w:sz w:val="16"/>
                <w:szCs w:val="16"/>
              </w:rPr>
              <w:t xml:space="preserve">Ensure compliance </w:t>
            </w:r>
            <w:r w:rsidRPr="00A15CCC">
              <w:rPr>
                <w:rFonts w:ascii="Rockwell" w:hAnsi="Rockwell" w:cstheme="minorHAnsi"/>
                <w:sz w:val="16"/>
                <w:szCs w:val="16"/>
              </w:rPr>
              <w:t>with the provisions of the Chronically Sick and Disabled Persons (Scotland) Act 1972.</w:t>
            </w:r>
            <w:r>
              <w:rPr>
                <w:rStyle w:val="EndnoteReference"/>
                <w:rFonts w:ascii="Rockwell" w:hAnsi="Rockwell" w:cstheme="minorHAnsi"/>
                <w:sz w:val="16"/>
                <w:szCs w:val="16"/>
              </w:rPr>
              <w:endnoteReference w:id="2"/>
            </w:r>
          </w:p>
        </w:tc>
        <w:tc>
          <w:tcPr>
            <w:tcW w:w="4395" w:type="dxa"/>
            <w:vAlign w:val="center"/>
          </w:tcPr>
          <w:p w:rsidR="00EF7D80" w:rsidRPr="00480784" w:rsidRDefault="00EF7D80" w:rsidP="00C01C6C">
            <w:pPr>
              <w:spacing w:beforeLines="30" w:afterLines="30"/>
              <w:rPr>
                <w:rFonts w:ascii="Rockwell" w:eastAsia="Times New Roman" w:hAnsi="Rockwell" w:cstheme="minorHAnsi"/>
                <w:sz w:val="16"/>
                <w:szCs w:val="16"/>
                <w:lang w:eastAsia="en-GB"/>
              </w:rPr>
            </w:pPr>
          </w:p>
        </w:tc>
      </w:tr>
      <w:tr w:rsidR="006B4143" w:rsidRPr="00480784" w:rsidTr="006B4143">
        <w:trPr>
          <w:trHeight w:val="1529"/>
        </w:trPr>
        <w:tc>
          <w:tcPr>
            <w:tcW w:w="994" w:type="dxa"/>
            <w:vAlign w:val="center"/>
          </w:tcPr>
          <w:p w:rsidR="00EF7D80" w:rsidRPr="00480784" w:rsidRDefault="00EF7D80" w:rsidP="00C01C6C">
            <w:pPr>
              <w:spacing w:beforeLines="30" w:afterLines="30"/>
              <w:jc w:val="center"/>
              <w:rPr>
                <w:rFonts w:ascii="Rockwell" w:eastAsia="Times New Roman" w:hAnsi="Rockwell" w:cstheme="minorHAnsi"/>
                <w:i/>
                <w:sz w:val="16"/>
                <w:szCs w:val="16"/>
                <w:lang w:eastAsia="en-GB"/>
              </w:rPr>
            </w:pPr>
            <w:r w:rsidRPr="00480784">
              <w:rPr>
                <w:rFonts w:ascii="Rockwell" w:eastAsia="Times New Roman" w:hAnsi="Rockwell" w:cstheme="minorHAnsi"/>
                <w:i/>
                <w:sz w:val="16"/>
                <w:szCs w:val="16"/>
                <w:lang w:eastAsia="en-GB"/>
              </w:rPr>
              <w:t>Community/ family support</w:t>
            </w:r>
          </w:p>
        </w:tc>
        <w:tc>
          <w:tcPr>
            <w:tcW w:w="4110" w:type="dxa"/>
            <w:vAlign w:val="center"/>
          </w:tcPr>
          <w:p w:rsidR="00EF7D80" w:rsidRPr="00480784" w:rsidRDefault="00BB30B6" w:rsidP="00C01C6C">
            <w:pPr>
              <w:pStyle w:val="ListParagraph"/>
              <w:numPr>
                <w:ilvl w:val="0"/>
                <w:numId w:val="21"/>
              </w:numPr>
              <w:spacing w:beforeLines="30" w:afterLines="30"/>
              <w:ind w:left="174" w:hanging="141"/>
              <w:rPr>
                <w:rFonts w:ascii="Rockwell" w:hAnsi="Rockwell" w:cstheme="minorHAnsi"/>
                <w:sz w:val="16"/>
                <w:szCs w:val="16"/>
              </w:rPr>
            </w:pPr>
            <w:r>
              <w:rPr>
                <w:rFonts w:ascii="Rockwell" w:hAnsi="Rockwell" w:cstheme="minorHAnsi"/>
                <w:sz w:val="16"/>
                <w:szCs w:val="16"/>
              </w:rPr>
              <w:t>C</w:t>
            </w:r>
            <w:r w:rsidR="00EF7D80" w:rsidRPr="00480784">
              <w:rPr>
                <w:rFonts w:ascii="Rockwell" w:hAnsi="Rockwell" w:cstheme="minorHAnsi"/>
                <w:sz w:val="16"/>
                <w:szCs w:val="16"/>
              </w:rPr>
              <w:t xml:space="preserve">onsider if there would be benefit from offering more direct support to the siblings of disabled children, for example, through support groups or on-line networks. </w:t>
            </w:r>
          </w:p>
          <w:p w:rsidR="00EF7D80" w:rsidRPr="00480784" w:rsidRDefault="00BB30B6" w:rsidP="00C01C6C">
            <w:pPr>
              <w:pStyle w:val="ListParagraph"/>
              <w:numPr>
                <w:ilvl w:val="0"/>
                <w:numId w:val="21"/>
              </w:numPr>
              <w:spacing w:beforeLines="30" w:afterLines="30"/>
              <w:ind w:left="174" w:hanging="141"/>
              <w:rPr>
                <w:rFonts w:ascii="Rockwell" w:hAnsi="Rockwell" w:cstheme="minorHAnsi"/>
                <w:sz w:val="16"/>
                <w:szCs w:val="16"/>
              </w:rPr>
            </w:pPr>
            <w:r>
              <w:rPr>
                <w:rFonts w:ascii="Rockwell" w:hAnsi="Rockwell" w:cstheme="minorHAnsi"/>
                <w:sz w:val="16"/>
                <w:szCs w:val="16"/>
              </w:rPr>
              <w:t>C</w:t>
            </w:r>
            <w:r w:rsidR="00EF7D80" w:rsidRPr="00480784">
              <w:rPr>
                <w:rFonts w:ascii="Rockwell" w:hAnsi="Rockwell" w:cstheme="minorHAnsi"/>
                <w:sz w:val="16"/>
                <w:szCs w:val="16"/>
              </w:rPr>
              <w:t>onsider setting up more support groups for parents, if possible available at different times</w:t>
            </w:r>
            <w:r>
              <w:rPr>
                <w:rFonts w:ascii="Rockwell" w:hAnsi="Rockwell" w:cstheme="minorHAnsi"/>
                <w:sz w:val="16"/>
                <w:szCs w:val="16"/>
              </w:rPr>
              <w:t>.</w:t>
            </w:r>
          </w:p>
        </w:tc>
        <w:tc>
          <w:tcPr>
            <w:tcW w:w="3543" w:type="dxa"/>
            <w:vAlign w:val="center"/>
          </w:tcPr>
          <w:p w:rsidR="00EF7D80" w:rsidRPr="00480784" w:rsidRDefault="00BB30B6" w:rsidP="00C01C6C">
            <w:pPr>
              <w:pStyle w:val="ListParagraph"/>
              <w:numPr>
                <w:ilvl w:val="0"/>
                <w:numId w:val="21"/>
              </w:numPr>
              <w:spacing w:beforeLines="30" w:afterLines="30"/>
              <w:ind w:left="174" w:hanging="141"/>
              <w:rPr>
                <w:rFonts w:ascii="Rockwell" w:eastAsia="Times New Roman" w:hAnsi="Rockwell" w:cstheme="minorHAnsi"/>
                <w:sz w:val="16"/>
                <w:szCs w:val="16"/>
                <w:lang w:eastAsia="en-GB"/>
              </w:rPr>
            </w:pPr>
            <w:r>
              <w:rPr>
                <w:rFonts w:ascii="Rockwell" w:hAnsi="Rockwell" w:cstheme="minorHAnsi"/>
                <w:sz w:val="16"/>
                <w:szCs w:val="16"/>
              </w:rPr>
              <w:t>Consider how to</w:t>
            </w:r>
            <w:r w:rsidR="00EF7D80" w:rsidRPr="00480784">
              <w:rPr>
                <w:rFonts w:ascii="Rockwell" w:hAnsi="Rockwell" w:cstheme="minorHAnsi"/>
                <w:sz w:val="16"/>
                <w:szCs w:val="16"/>
              </w:rPr>
              <w:t xml:space="preserve"> engage community and build capacity and focus on coproduction if key services are not available</w:t>
            </w:r>
            <w:r>
              <w:rPr>
                <w:rFonts w:ascii="Rockwell" w:hAnsi="Rockwell" w:cstheme="minorHAnsi"/>
                <w:sz w:val="16"/>
                <w:szCs w:val="16"/>
              </w:rPr>
              <w:t>.</w:t>
            </w:r>
          </w:p>
        </w:tc>
        <w:tc>
          <w:tcPr>
            <w:tcW w:w="3402" w:type="dxa"/>
          </w:tcPr>
          <w:p w:rsidR="00EF7D80" w:rsidRPr="00480784" w:rsidRDefault="00EF7D80" w:rsidP="00C01C6C">
            <w:pPr>
              <w:spacing w:beforeLines="30" w:afterLines="30"/>
              <w:rPr>
                <w:rFonts w:ascii="Rockwell" w:eastAsia="Times New Roman" w:hAnsi="Rockwell" w:cstheme="minorHAnsi"/>
                <w:sz w:val="16"/>
                <w:szCs w:val="16"/>
                <w:lang w:eastAsia="en-GB"/>
              </w:rPr>
            </w:pPr>
          </w:p>
        </w:tc>
        <w:tc>
          <w:tcPr>
            <w:tcW w:w="4395" w:type="dxa"/>
            <w:vAlign w:val="center"/>
          </w:tcPr>
          <w:p w:rsidR="00EF7D80" w:rsidRPr="00480784" w:rsidRDefault="00EF7D80" w:rsidP="00C01C6C">
            <w:pPr>
              <w:spacing w:beforeLines="30" w:afterLines="30"/>
              <w:rPr>
                <w:rFonts w:ascii="Rockwell" w:eastAsia="Times New Roman" w:hAnsi="Rockwell" w:cstheme="minorHAnsi"/>
                <w:sz w:val="16"/>
                <w:szCs w:val="16"/>
                <w:lang w:eastAsia="en-GB"/>
              </w:rPr>
            </w:pPr>
          </w:p>
        </w:tc>
      </w:tr>
      <w:tr w:rsidR="006B4143" w:rsidRPr="00480784" w:rsidTr="006B4143">
        <w:tc>
          <w:tcPr>
            <w:tcW w:w="994" w:type="dxa"/>
            <w:tcBorders>
              <w:bottom w:val="single" w:sz="8" w:space="0" w:color="D9D9D9" w:themeColor="background1" w:themeShade="D9"/>
            </w:tcBorders>
            <w:vAlign w:val="center"/>
          </w:tcPr>
          <w:p w:rsidR="00EF7D80" w:rsidRPr="00480784" w:rsidRDefault="00EF7D80" w:rsidP="00C01C6C">
            <w:pPr>
              <w:spacing w:beforeLines="30" w:afterLines="30"/>
              <w:jc w:val="center"/>
              <w:rPr>
                <w:rFonts w:ascii="Rockwell" w:hAnsi="Rockwell" w:cstheme="minorHAnsi"/>
                <w:i/>
                <w:sz w:val="16"/>
                <w:szCs w:val="16"/>
              </w:rPr>
            </w:pPr>
            <w:r w:rsidRPr="00480784">
              <w:rPr>
                <w:rFonts w:ascii="Rockwell" w:hAnsi="Rockwell" w:cstheme="minorHAnsi"/>
                <w:i/>
                <w:sz w:val="16"/>
                <w:szCs w:val="16"/>
              </w:rPr>
              <w:t>Waiting lists</w:t>
            </w:r>
          </w:p>
        </w:tc>
        <w:tc>
          <w:tcPr>
            <w:tcW w:w="4110" w:type="dxa"/>
            <w:tcBorders>
              <w:bottom w:val="single" w:sz="8" w:space="0" w:color="D9D9D9" w:themeColor="background1" w:themeShade="D9"/>
            </w:tcBorders>
            <w:vAlign w:val="center"/>
          </w:tcPr>
          <w:p w:rsidR="00EF7D80" w:rsidRPr="00480784" w:rsidRDefault="00BB30B6" w:rsidP="00C01C6C">
            <w:pPr>
              <w:pStyle w:val="ListParagraph"/>
              <w:numPr>
                <w:ilvl w:val="0"/>
                <w:numId w:val="21"/>
              </w:numPr>
              <w:spacing w:beforeLines="30" w:afterLines="30"/>
              <w:ind w:left="174" w:hanging="141"/>
              <w:rPr>
                <w:rFonts w:ascii="Rockwell" w:hAnsi="Rockwell" w:cstheme="minorHAnsi"/>
                <w:sz w:val="16"/>
                <w:szCs w:val="16"/>
              </w:rPr>
            </w:pPr>
            <w:r>
              <w:rPr>
                <w:rFonts w:ascii="Rockwell" w:hAnsi="Rockwell" w:cstheme="minorHAnsi"/>
                <w:sz w:val="16"/>
                <w:szCs w:val="16"/>
              </w:rPr>
              <w:t>Actively manage and regularly monitor waiting lists</w:t>
            </w:r>
            <w:r w:rsidR="00EF7D80" w:rsidRPr="00480784">
              <w:rPr>
                <w:rFonts w:ascii="Rockwell" w:hAnsi="Rockwell" w:cstheme="minorHAnsi"/>
                <w:sz w:val="16"/>
                <w:szCs w:val="16"/>
              </w:rPr>
              <w:t xml:space="preserve">, with families being kept informed of progress and offered alterative advice, information and support as appropriate. </w:t>
            </w:r>
          </w:p>
        </w:tc>
        <w:tc>
          <w:tcPr>
            <w:tcW w:w="3543" w:type="dxa"/>
            <w:tcBorders>
              <w:bottom w:val="single" w:sz="8" w:space="0" w:color="D9D9D9" w:themeColor="background1" w:themeShade="D9"/>
            </w:tcBorders>
            <w:vAlign w:val="center"/>
          </w:tcPr>
          <w:p w:rsidR="00EF7D80" w:rsidRPr="00480784" w:rsidRDefault="00EF7D80" w:rsidP="00C01C6C">
            <w:pPr>
              <w:spacing w:beforeLines="30" w:afterLines="30"/>
              <w:rPr>
                <w:rFonts w:ascii="Rockwell" w:hAnsi="Rockwell" w:cstheme="minorHAnsi"/>
                <w:sz w:val="16"/>
                <w:szCs w:val="16"/>
              </w:rPr>
            </w:pPr>
          </w:p>
        </w:tc>
        <w:tc>
          <w:tcPr>
            <w:tcW w:w="3402" w:type="dxa"/>
            <w:tcBorders>
              <w:bottom w:val="single" w:sz="8" w:space="0" w:color="D9D9D9" w:themeColor="background1" w:themeShade="D9"/>
            </w:tcBorders>
          </w:tcPr>
          <w:p w:rsidR="00EF7D80" w:rsidRPr="00A15CCC" w:rsidRDefault="00A15CCC" w:rsidP="00C01C6C">
            <w:pPr>
              <w:pStyle w:val="ListParagraph"/>
              <w:numPr>
                <w:ilvl w:val="0"/>
                <w:numId w:val="21"/>
              </w:numPr>
              <w:spacing w:beforeLines="30" w:afterLines="30"/>
              <w:ind w:left="174" w:hanging="141"/>
              <w:rPr>
                <w:rFonts w:ascii="Rockwell" w:hAnsi="Rockwell" w:cstheme="minorHAnsi"/>
                <w:sz w:val="16"/>
                <w:szCs w:val="16"/>
              </w:rPr>
            </w:pPr>
            <w:r>
              <w:rPr>
                <w:rFonts w:ascii="Rockwell" w:hAnsi="Rockwell" w:cstheme="minorHAnsi"/>
                <w:sz w:val="16"/>
                <w:szCs w:val="16"/>
              </w:rPr>
              <w:t>Ensure</w:t>
            </w:r>
            <w:r w:rsidRPr="00480784">
              <w:rPr>
                <w:rFonts w:ascii="Rockwell" w:hAnsi="Rockwell" w:cstheme="minorHAnsi"/>
                <w:sz w:val="16"/>
                <w:szCs w:val="16"/>
              </w:rPr>
              <w:t xml:space="preserve"> performance monitoring systems </w:t>
            </w:r>
            <w:r>
              <w:rPr>
                <w:rFonts w:ascii="Rockwell" w:hAnsi="Rockwell" w:cstheme="minorHAnsi"/>
                <w:sz w:val="16"/>
                <w:szCs w:val="16"/>
              </w:rPr>
              <w:t xml:space="preserve">are </w:t>
            </w:r>
            <w:r w:rsidRPr="00480784">
              <w:rPr>
                <w:rFonts w:ascii="Rockwell" w:hAnsi="Rockwell" w:cstheme="minorHAnsi"/>
                <w:sz w:val="16"/>
                <w:szCs w:val="16"/>
              </w:rPr>
              <w:t>in place to help manage waiting lists and times effectively, including the times associated with service provision.</w:t>
            </w:r>
          </w:p>
        </w:tc>
        <w:tc>
          <w:tcPr>
            <w:tcW w:w="4395" w:type="dxa"/>
            <w:tcBorders>
              <w:bottom w:val="single" w:sz="8" w:space="0" w:color="D9D9D9" w:themeColor="background1" w:themeShade="D9"/>
            </w:tcBorders>
            <w:vAlign w:val="center"/>
          </w:tcPr>
          <w:p w:rsidR="00EF7D80" w:rsidRPr="00480784" w:rsidRDefault="00EF7D80" w:rsidP="00C01C6C">
            <w:pPr>
              <w:spacing w:beforeLines="30" w:afterLines="30"/>
              <w:rPr>
                <w:rFonts w:ascii="Rockwell" w:hAnsi="Rockwell" w:cstheme="minorHAnsi"/>
                <w:sz w:val="16"/>
                <w:szCs w:val="16"/>
              </w:rPr>
            </w:pPr>
          </w:p>
        </w:tc>
      </w:tr>
      <w:tr w:rsidR="00A15CCC" w:rsidRPr="00480784" w:rsidTr="007D559C">
        <w:trPr>
          <w:trHeight w:val="327"/>
        </w:trPr>
        <w:tc>
          <w:tcPr>
            <w:tcW w:w="16444" w:type="dxa"/>
            <w:gridSpan w:val="5"/>
            <w:tcBorders>
              <w:top w:val="single" w:sz="12" w:space="0" w:color="002060"/>
              <w:bottom w:val="single" w:sz="12" w:space="0" w:color="002060"/>
            </w:tcBorders>
            <w:shd w:val="clear" w:color="auto" w:fill="F3FAFF"/>
          </w:tcPr>
          <w:p w:rsidR="00A15CCC" w:rsidRPr="00480784" w:rsidRDefault="00A15CCC" w:rsidP="00C01C6C">
            <w:pPr>
              <w:spacing w:beforeLines="30" w:afterLines="30"/>
              <w:jc w:val="center"/>
              <w:rPr>
                <w:rFonts w:ascii="Rockwell" w:hAnsi="Rockwell" w:cstheme="minorHAnsi"/>
                <w:sz w:val="16"/>
                <w:szCs w:val="16"/>
              </w:rPr>
            </w:pPr>
            <w:r w:rsidRPr="00480784">
              <w:rPr>
                <w:rFonts w:ascii="Rockwell" w:eastAsia="Times New Roman" w:hAnsi="Rockwell" w:cstheme="minorHAnsi"/>
                <w:b/>
                <w:i/>
                <w:sz w:val="18"/>
                <w:szCs w:val="18"/>
                <w:lang w:eastAsia="en-GB"/>
              </w:rPr>
              <w:t>Theme: Moving on</w:t>
            </w:r>
          </w:p>
        </w:tc>
      </w:tr>
      <w:tr w:rsidR="006B4143" w:rsidRPr="00480784" w:rsidTr="006B4143">
        <w:trPr>
          <w:cantSplit/>
          <w:trHeight w:val="1134"/>
        </w:trPr>
        <w:tc>
          <w:tcPr>
            <w:tcW w:w="994" w:type="dxa"/>
            <w:vAlign w:val="center"/>
          </w:tcPr>
          <w:p w:rsidR="00EF7D80" w:rsidRPr="00480784" w:rsidRDefault="00EF7D80" w:rsidP="00C01C6C">
            <w:pPr>
              <w:spacing w:beforeLines="30" w:afterLines="30"/>
              <w:jc w:val="center"/>
              <w:rPr>
                <w:rFonts w:ascii="Rockwell" w:eastAsia="Times New Roman" w:hAnsi="Rockwell" w:cstheme="minorHAnsi"/>
                <w:i/>
                <w:sz w:val="16"/>
                <w:szCs w:val="16"/>
                <w:lang w:eastAsia="en-GB"/>
              </w:rPr>
            </w:pPr>
            <w:r w:rsidRPr="00480784">
              <w:rPr>
                <w:rFonts w:ascii="Rockwell" w:eastAsia="Times New Roman" w:hAnsi="Rockwell" w:cstheme="minorHAnsi"/>
                <w:i/>
                <w:sz w:val="16"/>
                <w:szCs w:val="16"/>
                <w:lang w:eastAsia="en-GB"/>
              </w:rPr>
              <w:lastRenderedPageBreak/>
              <w:t>Transitions</w:t>
            </w:r>
          </w:p>
        </w:tc>
        <w:tc>
          <w:tcPr>
            <w:tcW w:w="4110" w:type="dxa"/>
            <w:vAlign w:val="center"/>
          </w:tcPr>
          <w:p w:rsidR="00A15CCC" w:rsidRPr="00480784" w:rsidRDefault="00A15CCC" w:rsidP="00C01C6C">
            <w:pPr>
              <w:pStyle w:val="ListParagraph"/>
              <w:numPr>
                <w:ilvl w:val="0"/>
                <w:numId w:val="21"/>
              </w:numPr>
              <w:spacing w:beforeLines="30" w:afterLines="30"/>
              <w:ind w:left="174" w:hanging="141"/>
              <w:rPr>
                <w:rFonts w:ascii="Rockwell" w:hAnsi="Rockwell" w:cstheme="minorHAnsi"/>
                <w:sz w:val="16"/>
                <w:szCs w:val="16"/>
              </w:rPr>
            </w:pPr>
            <w:r>
              <w:rPr>
                <w:rFonts w:ascii="Rockwell" w:hAnsi="Rockwell" w:cstheme="minorHAnsi"/>
                <w:sz w:val="16"/>
                <w:szCs w:val="16"/>
              </w:rPr>
              <w:t>Lobby for a target that all authorities should have a transition process in place.</w:t>
            </w:r>
          </w:p>
          <w:p w:rsidR="00EF7D80" w:rsidRPr="00480784" w:rsidRDefault="00BB30B6" w:rsidP="00C01C6C">
            <w:pPr>
              <w:pStyle w:val="ListParagraph"/>
              <w:numPr>
                <w:ilvl w:val="0"/>
                <w:numId w:val="21"/>
              </w:numPr>
              <w:spacing w:beforeLines="30" w:afterLines="30"/>
              <w:ind w:left="174" w:hanging="141"/>
              <w:rPr>
                <w:rFonts w:ascii="Rockwell" w:hAnsi="Rockwell" w:cstheme="minorHAnsi"/>
                <w:sz w:val="16"/>
                <w:szCs w:val="16"/>
              </w:rPr>
            </w:pPr>
            <w:r>
              <w:rPr>
                <w:rFonts w:ascii="Rockwell" w:hAnsi="Rockwell" w:cstheme="minorHAnsi"/>
                <w:sz w:val="16"/>
                <w:szCs w:val="16"/>
              </w:rPr>
              <w:t xml:space="preserve">Ensure that the SG </w:t>
            </w:r>
            <w:r w:rsidR="00EF7D80" w:rsidRPr="00480784">
              <w:rPr>
                <w:rFonts w:ascii="Rockwell" w:hAnsi="Rockwell" w:cstheme="minorHAnsi"/>
                <w:sz w:val="16"/>
                <w:szCs w:val="16"/>
              </w:rPr>
              <w:t>update</w:t>
            </w:r>
            <w:r>
              <w:rPr>
                <w:rFonts w:ascii="Rockwell" w:hAnsi="Rockwell" w:cstheme="minorHAnsi"/>
                <w:sz w:val="16"/>
                <w:szCs w:val="16"/>
              </w:rPr>
              <w:t>s</w:t>
            </w:r>
            <w:r w:rsidR="00EF7D80" w:rsidRPr="00480784">
              <w:rPr>
                <w:rFonts w:ascii="Rockwell" w:hAnsi="Rockwell" w:cstheme="minorHAnsi"/>
                <w:sz w:val="16"/>
                <w:szCs w:val="16"/>
              </w:rPr>
              <w:t>, publish</w:t>
            </w:r>
            <w:r>
              <w:rPr>
                <w:rFonts w:ascii="Rockwell" w:hAnsi="Rockwell" w:cstheme="minorHAnsi"/>
                <w:sz w:val="16"/>
                <w:szCs w:val="16"/>
              </w:rPr>
              <w:t>es</w:t>
            </w:r>
            <w:r w:rsidR="00EF7D80" w:rsidRPr="00480784">
              <w:rPr>
                <w:rFonts w:ascii="Rockwell" w:hAnsi="Rockwell" w:cstheme="minorHAnsi"/>
                <w:sz w:val="16"/>
                <w:szCs w:val="16"/>
              </w:rPr>
              <w:t xml:space="preserve"> and act</w:t>
            </w:r>
            <w:r>
              <w:rPr>
                <w:rFonts w:ascii="Rockwell" w:hAnsi="Rockwell" w:cstheme="minorHAnsi"/>
                <w:sz w:val="16"/>
                <w:szCs w:val="16"/>
              </w:rPr>
              <w:t>s</w:t>
            </w:r>
            <w:r w:rsidR="00EF7D80" w:rsidRPr="00480784">
              <w:rPr>
                <w:rFonts w:ascii="Rockwell" w:hAnsi="Rockwell" w:cstheme="minorHAnsi"/>
                <w:sz w:val="16"/>
                <w:szCs w:val="16"/>
              </w:rPr>
              <w:t xml:space="preserve"> on the recommendations of the </w:t>
            </w:r>
            <w:r w:rsidR="00EF7D80" w:rsidRPr="00BB30B6">
              <w:rPr>
                <w:rFonts w:ascii="Rockwell" w:hAnsi="Rockwell" w:cstheme="minorHAnsi"/>
                <w:i/>
                <w:sz w:val="16"/>
                <w:szCs w:val="16"/>
              </w:rPr>
              <w:t xml:space="preserve">Report on Implementation of School to Post-school Transitional Planning for </w:t>
            </w:r>
            <w:r>
              <w:rPr>
                <w:rFonts w:ascii="Rockwell" w:hAnsi="Rockwell" w:cstheme="minorHAnsi"/>
                <w:i/>
                <w:sz w:val="16"/>
                <w:szCs w:val="16"/>
              </w:rPr>
              <w:t xml:space="preserve">CYP </w:t>
            </w:r>
            <w:r w:rsidR="00EF7D80" w:rsidRPr="00BB30B6">
              <w:rPr>
                <w:rFonts w:ascii="Rockwell" w:hAnsi="Rockwell" w:cstheme="minorHAnsi"/>
                <w:i/>
                <w:sz w:val="16"/>
                <w:szCs w:val="16"/>
              </w:rPr>
              <w:t>with Additional Support Needs 2009-2011</w:t>
            </w:r>
            <w:r w:rsidR="00EF7D80" w:rsidRPr="00480784">
              <w:rPr>
                <w:rFonts w:ascii="Rockwell" w:hAnsi="Rockwell" w:cstheme="minorHAnsi"/>
                <w:sz w:val="16"/>
                <w:szCs w:val="16"/>
              </w:rPr>
              <w:t>.</w:t>
            </w:r>
          </w:p>
        </w:tc>
        <w:tc>
          <w:tcPr>
            <w:tcW w:w="3543" w:type="dxa"/>
            <w:vAlign w:val="center"/>
          </w:tcPr>
          <w:p w:rsidR="00EF7D80" w:rsidRPr="00480784" w:rsidRDefault="00EF7D80" w:rsidP="00C01C6C">
            <w:pPr>
              <w:spacing w:beforeLines="30" w:afterLines="30"/>
              <w:rPr>
                <w:rFonts w:ascii="Rockwell" w:eastAsia="Times New Roman" w:hAnsi="Rockwell" w:cstheme="minorHAnsi"/>
                <w:sz w:val="16"/>
                <w:szCs w:val="16"/>
                <w:lang w:eastAsia="en-GB"/>
              </w:rPr>
            </w:pPr>
            <w:r w:rsidRPr="00480784">
              <w:rPr>
                <w:rFonts w:ascii="Rockwell" w:eastAsia="Times New Roman" w:hAnsi="Rockwell" w:cstheme="minorHAnsi"/>
                <w:sz w:val="16"/>
                <w:szCs w:val="16"/>
                <w:lang w:eastAsia="en-GB"/>
              </w:rPr>
              <w:t>Work to ensure smooth transitions between children's and adults services for disabled young people, including by:</w:t>
            </w:r>
          </w:p>
          <w:p w:rsidR="00EF7D80" w:rsidRPr="00480784" w:rsidRDefault="00EF7D80" w:rsidP="00C01C6C">
            <w:pPr>
              <w:pStyle w:val="ListParagraph"/>
              <w:numPr>
                <w:ilvl w:val="0"/>
                <w:numId w:val="1"/>
              </w:numPr>
              <w:spacing w:beforeLines="30" w:afterLines="30"/>
              <w:ind w:left="263" w:hanging="263"/>
              <w:rPr>
                <w:rFonts w:ascii="Rockwell" w:eastAsia="Times New Roman" w:hAnsi="Rockwell" w:cstheme="minorHAnsi"/>
                <w:sz w:val="16"/>
                <w:szCs w:val="16"/>
                <w:lang w:eastAsia="en-GB"/>
              </w:rPr>
            </w:pPr>
            <w:r w:rsidRPr="00480784">
              <w:rPr>
                <w:rFonts w:ascii="Rockwell" w:eastAsia="Times New Roman" w:hAnsi="Rockwell" w:cstheme="minorHAnsi"/>
                <w:sz w:val="16"/>
                <w:szCs w:val="16"/>
                <w:lang w:eastAsia="en-GB"/>
              </w:rPr>
              <w:t>Supporting disabled CYP to face future challenges.</w:t>
            </w:r>
          </w:p>
          <w:p w:rsidR="00EF7D80" w:rsidRPr="00480784" w:rsidRDefault="00EF7D80" w:rsidP="00C01C6C">
            <w:pPr>
              <w:pStyle w:val="ListParagraph"/>
              <w:numPr>
                <w:ilvl w:val="0"/>
                <w:numId w:val="1"/>
              </w:numPr>
              <w:spacing w:beforeLines="30" w:afterLines="30"/>
              <w:ind w:left="263" w:hanging="263"/>
              <w:rPr>
                <w:rFonts w:ascii="Rockwell" w:eastAsia="Times New Roman" w:hAnsi="Rockwell" w:cstheme="minorHAnsi"/>
                <w:sz w:val="16"/>
                <w:szCs w:val="16"/>
                <w:lang w:eastAsia="en-GB"/>
              </w:rPr>
            </w:pPr>
            <w:r w:rsidRPr="00480784">
              <w:rPr>
                <w:rFonts w:ascii="Rockwell" w:eastAsia="Times New Roman" w:hAnsi="Rockwell" w:cstheme="minorHAnsi"/>
                <w:sz w:val="16"/>
                <w:szCs w:val="16"/>
                <w:lang w:eastAsia="en-GB"/>
              </w:rPr>
              <w:t>Ensuring that services enabling social opportunities for DYP continue to be available during and after transition</w:t>
            </w:r>
          </w:p>
          <w:p w:rsidR="00EF7D80" w:rsidRPr="00480784" w:rsidRDefault="00EF7D80" w:rsidP="00C01C6C">
            <w:pPr>
              <w:pStyle w:val="ListParagraph"/>
              <w:numPr>
                <w:ilvl w:val="0"/>
                <w:numId w:val="1"/>
              </w:numPr>
              <w:spacing w:beforeLines="30" w:afterLines="30"/>
              <w:ind w:left="263" w:hanging="263"/>
              <w:rPr>
                <w:rFonts w:ascii="Rockwell" w:eastAsia="Times New Roman" w:hAnsi="Rockwell" w:cstheme="minorHAnsi"/>
                <w:sz w:val="16"/>
                <w:szCs w:val="16"/>
                <w:lang w:eastAsia="en-GB"/>
              </w:rPr>
            </w:pPr>
            <w:r w:rsidRPr="00480784">
              <w:rPr>
                <w:rFonts w:ascii="Rockwell" w:eastAsia="Times New Roman" w:hAnsi="Rockwell" w:cstheme="minorHAnsi"/>
                <w:sz w:val="16"/>
                <w:szCs w:val="16"/>
                <w:lang w:eastAsia="en-GB"/>
              </w:rPr>
              <w:t>Ensuring effective transitions where services meet individual future needs.</w:t>
            </w:r>
          </w:p>
        </w:tc>
        <w:tc>
          <w:tcPr>
            <w:tcW w:w="3402" w:type="dxa"/>
          </w:tcPr>
          <w:p w:rsidR="00EF7D80" w:rsidRPr="00480784" w:rsidRDefault="00EF7D80" w:rsidP="00C01C6C">
            <w:pPr>
              <w:spacing w:beforeLines="30" w:afterLines="30"/>
              <w:rPr>
                <w:rFonts w:ascii="Rockwell" w:eastAsia="Times New Roman" w:hAnsi="Rockwell" w:cstheme="minorHAnsi"/>
                <w:sz w:val="16"/>
                <w:szCs w:val="16"/>
                <w:lang w:eastAsia="en-GB"/>
              </w:rPr>
            </w:pPr>
          </w:p>
        </w:tc>
        <w:tc>
          <w:tcPr>
            <w:tcW w:w="4395" w:type="dxa"/>
            <w:vAlign w:val="center"/>
          </w:tcPr>
          <w:p w:rsidR="00EF7D80" w:rsidRPr="00480784" w:rsidRDefault="00EF7D80" w:rsidP="00C01C6C">
            <w:pPr>
              <w:spacing w:beforeLines="30" w:afterLines="30"/>
              <w:rPr>
                <w:rFonts w:ascii="Rockwell" w:eastAsia="Times New Roman" w:hAnsi="Rockwell" w:cstheme="minorHAnsi"/>
                <w:sz w:val="16"/>
                <w:szCs w:val="16"/>
                <w:lang w:eastAsia="en-GB"/>
              </w:rPr>
            </w:pPr>
          </w:p>
        </w:tc>
      </w:tr>
      <w:tr w:rsidR="006B4143" w:rsidRPr="00480784" w:rsidTr="006B4143">
        <w:trPr>
          <w:cantSplit/>
          <w:trHeight w:val="639"/>
        </w:trPr>
        <w:tc>
          <w:tcPr>
            <w:tcW w:w="994" w:type="dxa"/>
            <w:vAlign w:val="center"/>
          </w:tcPr>
          <w:p w:rsidR="00EF7D80" w:rsidRPr="00480784" w:rsidRDefault="00EF7D80" w:rsidP="00C01C6C">
            <w:pPr>
              <w:spacing w:beforeLines="30" w:afterLines="30"/>
              <w:jc w:val="center"/>
              <w:rPr>
                <w:rFonts w:ascii="Rockwell" w:eastAsia="Times New Roman" w:hAnsi="Rockwell" w:cstheme="minorHAnsi"/>
                <w:i/>
                <w:sz w:val="16"/>
                <w:szCs w:val="16"/>
                <w:lang w:eastAsia="en-GB"/>
              </w:rPr>
            </w:pPr>
            <w:r w:rsidRPr="00480784">
              <w:rPr>
                <w:rFonts w:ascii="Rockwell" w:eastAsia="Times New Roman" w:hAnsi="Rockwell" w:cstheme="minorHAnsi"/>
                <w:i/>
                <w:sz w:val="16"/>
                <w:szCs w:val="16"/>
                <w:lang w:eastAsia="en-GB"/>
              </w:rPr>
              <w:t>Employability</w:t>
            </w:r>
          </w:p>
        </w:tc>
        <w:tc>
          <w:tcPr>
            <w:tcW w:w="4110" w:type="dxa"/>
            <w:vAlign w:val="center"/>
          </w:tcPr>
          <w:p w:rsidR="00EF7D80" w:rsidRPr="00480784" w:rsidRDefault="00EF7D80" w:rsidP="00C01C6C">
            <w:pPr>
              <w:pStyle w:val="ListParagraph"/>
              <w:numPr>
                <w:ilvl w:val="0"/>
                <w:numId w:val="21"/>
              </w:numPr>
              <w:spacing w:beforeLines="30" w:afterLines="30"/>
              <w:ind w:left="174" w:hanging="141"/>
              <w:rPr>
                <w:rFonts w:ascii="Rockwell" w:hAnsi="Rockwell" w:cstheme="minorHAnsi"/>
                <w:sz w:val="16"/>
                <w:szCs w:val="16"/>
              </w:rPr>
            </w:pPr>
            <w:r w:rsidRPr="00480784">
              <w:rPr>
                <w:rFonts w:ascii="Rockwell" w:hAnsi="Rockwell" w:cstheme="minorHAnsi"/>
                <w:sz w:val="16"/>
                <w:szCs w:val="16"/>
              </w:rPr>
              <w:t>Talk to employers about improving availability and take-up of jobs for young disabled people</w:t>
            </w:r>
          </w:p>
        </w:tc>
        <w:tc>
          <w:tcPr>
            <w:tcW w:w="3543" w:type="dxa"/>
            <w:vAlign w:val="center"/>
          </w:tcPr>
          <w:p w:rsidR="00EF7D80" w:rsidRPr="008B0A28" w:rsidRDefault="008B0A28" w:rsidP="00C01C6C">
            <w:pPr>
              <w:pStyle w:val="ListParagraph"/>
              <w:numPr>
                <w:ilvl w:val="0"/>
                <w:numId w:val="21"/>
              </w:numPr>
              <w:spacing w:beforeLines="30" w:afterLines="30"/>
              <w:ind w:left="174" w:hanging="141"/>
              <w:rPr>
                <w:rFonts w:ascii="Rockwell" w:hAnsi="Rockwell" w:cstheme="minorHAnsi"/>
                <w:sz w:val="16"/>
                <w:szCs w:val="16"/>
              </w:rPr>
            </w:pPr>
            <w:r w:rsidRPr="008B0A28">
              <w:rPr>
                <w:rFonts w:ascii="Rockwell" w:hAnsi="Rockwell" w:cstheme="minorHAnsi"/>
                <w:sz w:val="16"/>
                <w:szCs w:val="16"/>
              </w:rPr>
              <w:t xml:space="preserve">Consider how the disabled young person can be an active participative citizen and a contributor to society. </w:t>
            </w:r>
          </w:p>
        </w:tc>
        <w:tc>
          <w:tcPr>
            <w:tcW w:w="3402" w:type="dxa"/>
          </w:tcPr>
          <w:p w:rsidR="00EF7D80" w:rsidRPr="00480784" w:rsidRDefault="00EF7D80" w:rsidP="00C01C6C">
            <w:pPr>
              <w:spacing w:beforeLines="30" w:afterLines="30"/>
              <w:rPr>
                <w:rFonts w:ascii="Rockwell" w:eastAsia="Times New Roman" w:hAnsi="Rockwell" w:cstheme="minorHAnsi"/>
                <w:sz w:val="16"/>
                <w:szCs w:val="16"/>
                <w:lang w:eastAsia="en-GB"/>
              </w:rPr>
            </w:pPr>
          </w:p>
        </w:tc>
        <w:tc>
          <w:tcPr>
            <w:tcW w:w="4395" w:type="dxa"/>
            <w:vAlign w:val="center"/>
          </w:tcPr>
          <w:p w:rsidR="00EF7D80" w:rsidRPr="00480784" w:rsidRDefault="00EF7D80" w:rsidP="00C01C6C">
            <w:pPr>
              <w:spacing w:beforeLines="30" w:afterLines="30"/>
              <w:rPr>
                <w:rFonts w:ascii="Rockwell" w:eastAsia="Times New Roman" w:hAnsi="Rockwell" w:cstheme="minorHAnsi"/>
                <w:sz w:val="16"/>
                <w:szCs w:val="16"/>
                <w:lang w:eastAsia="en-GB"/>
              </w:rPr>
            </w:pPr>
          </w:p>
        </w:tc>
      </w:tr>
      <w:tr w:rsidR="008B0A28" w:rsidRPr="00480784" w:rsidTr="00C0315E">
        <w:trPr>
          <w:trHeight w:val="327"/>
        </w:trPr>
        <w:tc>
          <w:tcPr>
            <w:tcW w:w="16444" w:type="dxa"/>
            <w:gridSpan w:val="5"/>
            <w:tcBorders>
              <w:top w:val="single" w:sz="12" w:space="0" w:color="002060"/>
              <w:bottom w:val="single" w:sz="12" w:space="0" w:color="002060"/>
            </w:tcBorders>
            <w:shd w:val="clear" w:color="auto" w:fill="F3FAFF"/>
          </w:tcPr>
          <w:p w:rsidR="008B0A28" w:rsidRPr="00480784" w:rsidRDefault="008B0A28" w:rsidP="00C01C6C">
            <w:pPr>
              <w:spacing w:beforeLines="30" w:afterLines="30"/>
              <w:jc w:val="center"/>
              <w:rPr>
                <w:rFonts w:ascii="Rockwell" w:hAnsi="Rockwell" w:cstheme="minorHAnsi"/>
                <w:sz w:val="16"/>
                <w:szCs w:val="16"/>
              </w:rPr>
            </w:pPr>
            <w:r w:rsidRPr="00480784">
              <w:rPr>
                <w:rFonts w:ascii="Rockwell" w:eastAsia="Times New Roman" w:hAnsi="Rockwell" w:cstheme="minorHAnsi"/>
                <w:b/>
                <w:i/>
                <w:sz w:val="18"/>
                <w:szCs w:val="18"/>
                <w:lang w:eastAsia="en-GB"/>
              </w:rPr>
              <w:t>Theme: Policies, legislation and advocacy</w:t>
            </w:r>
          </w:p>
        </w:tc>
      </w:tr>
      <w:tr w:rsidR="006B4143" w:rsidRPr="00480784" w:rsidTr="006B4143">
        <w:trPr>
          <w:trHeight w:val="1086"/>
        </w:trPr>
        <w:tc>
          <w:tcPr>
            <w:tcW w:w="994" w:type="dxa"/>
            <w:vAlign w:val="center"/>
          </w:tcPr>
          <w:p w:rsidR="00EF7D80" w:rsidRPr="00480784" w:rsidRDefault="00EF7D80" w:rsidP="00C01C6C">
            <w:pPr>
              <w:spacing w:beforeLines="30" w:afterLines="30"/>
              <w:jc w:val="center"/>
              <w:rPr>
                <w:rFonts w:ascii="Rockwell" w:eastAsia="Times New Roman" w:hAnsi="Rockwell" w:cstheme="minorHAnsi"/>
                <w:i/>
                <w:sz w:val="16"/>
                <w:szCs w:val="16"/>
                <w:lang w:eastAsia="en-GB"/>
              </w:rPr>
            </w:pPr>
            <w:r w:rsidRPr="00480784">
              <w:rPr>
                <w:rFonts w:ascii="Rockwell" w:eastAsia="Times New Roman" w:hAnsi="Rockwell" w:cstheme="minorHAnsi"/>
                <w:i/>
                <w:sz w:val="16"/>
                <w:szCs w:val="16"/>
                <w:lang w:eastAsia="en-GB"/>
              </w:rPr>
              <w:t>Policies relating to disabled CYP</w:t>
            </w:r>
          </w:p>
        </w:tc>
        <w:tc>
          <w:tcPr>
            <w:tcW w:w="4110" w:type="dxa"/>
            <w:vAlign w:val="center"/>
          </w:tcPr>
          <w:p w:rsidR="00BB30B6" w:rsidRPr="00BB30B6" w:rsidRDefault="00BB30B6" w:rsidP="00C01C6C">
            <w:pPr>
              <w:pStyle w:val="ListParagraph"/>
              <w:numPr>
                <w:ilvl w:val="0"/>
                <w:numId w:val="21"/>
              </w:numPr>
              <w:spacing w:beforeLines="30" w:afterLines="30"/>
              <w:ind w:left="174" w:hanging="141"/>
              <w:rPr>
                <w:rFonts w:ascii="Rockwell" w:hAnsi="Rockwell" w:cstheme="minorHAnsi"/>
                <w:sz w:val="16"/>
                <w:szCs w:val="16"/>
              </w:rPr>
            </w:pPr>
            <w:r>
              <w:rPr>
                <w:rFonts w:ascii="Rockwell" w:hAnsi="Rockwell" w:cstheme="minorHAnsi"/>
                <w:sz w:val="16"/>
                <w:szCs w:val="16"/>
              </w:rPr>
              <w:t>Produce a</w:t>
            </w:r>
            <w:r w:rsidRPr="00480784">
              <w:rPr>
                <w:rFonts w:ascii="Rockwell" w:hAnsi="Rockwell" w:cstheme="minorHAnsi"/>
                <w:sz w:val="16"/>
                <w:szCs w:val="16"/>
              </w:rPr>
              <w:t xml:space="preserve"> simplified policy overview/ guide setting out children’s rights and service providers’ responsibilities. </w:t>
            </w:r>
          </w:p>
          <w:p w:rsidR="00EF7D80" w:rsidRPr="00480784" w:rsidRDefault="00EF7D80" w:rsidP="00C01C6C">
            <w:pPr>
              <w:pStyle w:val="ListParagraph"/>
              <w:numPr>
                <w:ilvl w:val="0"/>
                <w:numId w:val="21"/>
              </w:numPr>
              <w:spacing w:beforeLines="30" w:afterLines="30"/>
              <w:ind w:left="174" w:hanging="141"/>
              <w:rPr>
                <w:rFonts w:ascii="Rockwell" w:hAnsi="Rockwell" w:cstheme="minorHAnsi"/>
                <w:sz w:val="16"/>
                <w:szCs w:val="16"/>
              </w:rPr>
            </w:pPr>
            <w:r w:rsidRPr="00480784">
              <w:rPr>
                <w:rFonts w:ascii="Rockwell" w:hAnsi="Rockwell" w:cstheme="minorHAnsi"/>
                <w:sz w:val="16"/>
                <w:szCs w:val="16"/>
              </w:rPr>
              <w:t>Take steps to monitor the implementation of legislation, regulations and guidance relevant to the provision of services for disabled CYP and their families by LAs.</w:t>
            </w:r>
          </w:p>
          <w:p w:rsidR="00EF7D80" w:rsidRPr="00480784" w:rsidRDefault="00EF7D80" w:rsidP="00C01C6C">
            <w:pPr>
              <w:pStyle w:val="ListParagraph"/>
              <w:numPr>
                <w:ilvl w:val="0"/>
                <w:numId w:val="21"/>
              </w:numPr>
              <w:spacing w:beforeLines="30" w:afterLines="30"/>
              <w:ind w:left="174" w:hanging="141"/>
              <w:rPr>
                <w:rFonts w:ascii="Rockwell" w:hAnsi="Rockwell" w:cstheme="minorHAnsi"/>
                <w:sz w:val="16"/>
                <w:szCs w:val="16"/>
              </w:rPr>
            </w:pPr>
            <w:r w:rsidRPr="00480784">
              <w:rPr>
                <w:rFonts w:ascii="Rockwell" w:hAnsi="Rockwell" w:cstheme="minorHAnsi"/>
                <w:sz w:val="16"/>
                <w:szCs w:val="16"/>
              </w:rPr>
              <w:t>Ensure that public bodies observe children’s rights under international conventions such as the UNCRC.</w:t>
            </w:r>
          </w:p>
        </w:tc>
        <w:tc>
          <w:tcPr>
            <w:tcW w:w="3543" w:type="dxa"/>
            <w:vAlign w:val="center"/>
          </w:tcPr>
          <w:p w:rsidR="00EF7D80" w:rsidRPr="00BB30B6" w:rsidRDefault="00EF7D80" w:rsidP="00C01C6C">
            <w:pPr>
              <w:pStyle w:val="ListParagraph"/>
              <w:numPr>
                <w:ilvl w:val="0"/>
                <w:numId w:val="21"/>
              </w:numPr>
              <w:spacing w:beforeLines="30" w:afterLines="30"/>
              <w:ind w:left="174" w:hanging="141"/>
              <w:rPr>
                <w:rFonts w:ascii="Rockwell" w:hAnsi="Rockwell" w:cstheme="minorHAnsi"/>
                <w:sz w:val="16"/>
                <w:szCs w:val="16"/>
              </w:rPr>
            </w:pPr>
            <w:r w:rsidRPr="00BB30B6">
              <w:rPr>
                <w:rFonts w:ascii="Rockwell" w:hAnsi="Rockwell" w:cstheme="minorHAnsi"/>
                <w:sz w:val="16"/>
                <w:szCs w:val="16"/>
              </w:rPr>
              <w:t xml:space="preserve">Ensure that policy and practice across Scotland acknowledges rights and responsibilities in terms of disabled CYP and their families. </w:t>
            </w:r>
          </w:p>
          <w:p w:rsidR="00EF7D80" w:rsidRPr="00480784" w:rsidRDefault="00EF7D80" w:rsidP="00C01C6C">
            <w:pPr>
              <w:spacing w:beforeLines="30" w:afterLines="30"/>
              <w:rPr>
                <w:rFonts w:ascii="Rockwell" w:eastAsia="Times New Roman" w:hAnsi="Rockwell" w:cstheme="minorHAnsi"/>
                <w:sz w:val="16"/>
                <w:szCs w:val="16"/>
                <w:lang w:eastAsia="en-GB"/>
              </w:rPr>
            </w:pPr>
          </w:p>
        </w:tc>
        <w:tc>
          <w:tcPr>
            <w:tcW w:w="3402" w:type="dxa"/>
          </w:tcPr>
          <w:p w:rsidR="00EF7D80" w:rsidRPr="00480784" w:rsidRDefault="00EF7D80" w:rsidP="00811310">
            <w:pPr>
              <w:tabs>
                <w:tab w:val="left" w:pos="851"/>
              </w:tabs>
              <w:rPr>
                <w:rFonts w:ascii="Rockwell" w:hAnsi="Rockwell" w:cstheme="minorHAnsi"/>
                <w:sz w:val="16"/>
                <w:szCs w:val="16"/>
              </w:rPr>
            </w:pPr>
          </w:p>
        </w:tc>
        <w:tc>
          <w:tcPr>
            <w:tcW w:w="4395" w:type="dxa"/>
            <w:tcBorders>
              <w:top w:val="single" w:sz="2" w:space="0" w:color="D9D9D9" w:themeColor="background1" w:themeShade="D9"/>
              <w:bottom w:val="single" w:sz="12" w:space="0" w:color="002060"/>
            </w:tcBorders>
            <w:vAlign w:val="center"/>
          </w:tcPr>
          <w:p w:rsidR="00EF7D80" w:rsidRPr="00480784" w:rsidRDefault="00EF7D80" w:rsidP="00811310">
            <w:pPr>
              <w:tabs>
                <w:tab w:val="left" w:pos="851"/>
              </w:tabs>
              <w:rPr>
                <w:rFonts w:ascii="Rockwell" w:hAnsi="Rockwell" w:cstheme="minorHAnsi"/>
                <w:sz w:val="16"/>
                <w:szCs w:val="16"/>
              </w:rPr>
            </w:pPr>
          </w:p>
        </w:tc>
      </w:tr>
      <w:tr w:rsidR="008B0A28" w:rsidRPr="00480784" w:rsidTr="00EA6A15">
        <w:trPr>
          <w:trHeight w:val="327"/>
        </w:trPr>
        <w:tc>
          <w:tcPr>
            <w:tcW w:w="16444" w:type="dxa"/>
            <w:gridSpan w:val="5"/>
            <w:tcBorders>
              <w:top w:val="single" w:sz="12" w:space="0" w:color="002060"/>
              <w:bottom w:val="single" w:sz="12" w:space="0" w:color="002060"/>
            </w:tcBorders>
            <w:shd w:val="clear" w:color="auto" w:fill="F3FAFF"/>
          </w:tcPr>
          <w:p w:rsidR="008B0A28" w:rsidRPr="00480784" w:rsidRDefault="008B0A28" w:rsidP="00C01C6C">
            <w:pPr>
              <w:spacing w:beforeLines="30" w:afterLines="30"/>
              <w:jc w:val="center"/>
              <w:rPr>
                <w:rFonts w:ascii="Rockwell" w:hAnsi="Rockwell" w:cstheme="minorHAnsi"/>
                <w:sz w:val="16"/>
                <w:szCs w:val="16"/>
              </w:rPr>
            </w:pPr>
            <w:r w:rsidRPr="00480784">
              <w:rPr>
                <w:rFonts w:ascii="Rockwell" w:eastAsia="Times New Roman" w:hAnsi="Rockwell" w:cstheme="minorHAnsi"/>
                <w:b/>
                <w:i/>
                <w:sz w:val="18"/>
                <w:szCs w:val="18"/>
                <w:lang w:eastAsia="en-GB"/>
              </w:rPr>
              <w:t>Theme: Resources</w:t>
            </w:r>
          </w:p>
        </w:tc>
      </w:tr>
      <w:tr w:rsidR="006B4143" w:rsidRPr="00480784" w:rsidTr="006B4143">
        <w:trPr>
          <w:trHeight w:val="1175"/>
        </w:trPr>
        <w:tc>
          <w:tcPr>
            <w:tcW w:w="994" w:type="dxa"/>
            <w:vAlign w:val="center"/>
          </w:tcPr>
          <w:p w:rsidR="00EF7D80" w:rsidRPr="00480784" w:rsidRDefault="00EF7D80" w:rsidP="00C01C6C">
            <w:pPr>
              <w:spacing w:beforeLines="30" w:afterLines="30"/>
              <w:jc w:val="center"/>
              <w:rPr>
                <w:rFonts w:ascii="Rockwell" w:eastAsia="Times New Roman" w:hAnsi="Rockwell" w:cstheme="minorHAnsi"/>
                <w:i/>
                <w:sz w:val="16"/>
                <w:szCs w:val="16"/>
                <w:lang w:eastAsia="en-GB"/>
              </w:rPr>
            </w:pPr>
            <w:r w:rsidRPr="00480784">
              <w:rPr>
                <w:rFonts w:ascii="Rockwell" w:eastAsia="Times New Roman" w:hAnsi="Rockwell" w:cstheme="minorHAnsi"/>
                <w:i/>
                <w:sz w:val="16"/>
                <w:szCs w:val="16"/>
                <w:lang w:eastAsia="en-GB"/>
              </w:rPr>
              <w:t>Inequity</w:t>
            </w:r>
          </w:p>
        </w:tc>
        <w:tc>
          <w:tcPr>
            <w:tcW w:w="4110" w:type="dxa"/>
            <w:vAlign w:val="center"/>
          </w:tcPr>
          <w:p w:rsidR="00BB30B6" w:rsidRPr="00480784" w:rsidRDefault="00BB30B6" w:rsidP="00C01C6C">
            <w:pPr>
              <w:pStyle w:val="ListParagraph"/>
              <w:numPr>
                <w:ilvl w:val="0"/>
                <w:numId w:val="21"/>
              </w:numPr>
              <w:spacing w:beforeLines="30" w:afterLines="30"/>
              <w:ind w:left="174" w:hanging="141"/>
              <w:rPr>
                <w:rFonts w:ascii="Rockwell" w:hAnsi="Rockwell" w:cstheme="minorHAnsi"/>
                <w:sz w:val="16"/>
                <w:szCs w:val="16"/>
              </w:rPr>
            </w:pPr>
            <w:r w:rsidRPr="00480784">
              <w:rPr>
                <w:rFonts w:ascii="Rockwell" w:hAnsi="Rockwell" w:cstheme="minorHAnsi"/>
                <w:sz w:val="16"/>
                <w:szCs w:val="16"/>
              </w:rPr>
              <w:t xml:space="preserve">Establish and lead a high profile education and awareness raising campaign about disability equality in relation to disabled CYP. </w:t>
            </w:r>
          </w:p>
          <w:p w:rsidR="00EF7D80" w:rsidRPr="00480784" w:rsidRDefault="00EF7D80" w:rsidP="00C01C6C">
            <w:pPr>
              <w:pStyle w:val="ListParagraph"/>
              <w:spacing w:beforeLines="30" w:afterLines="30"/>
              <w:ind w:left="174"/>
              <w:rPr>
                <w:rFonts w:ascii="Rockwell" w:hAnsi="Rockwell" w:cstheme="minorHAnsi"/>
                <w:sz w:val="16"/>
                <w:szCs w:val="16"/>
              </w:rPr>
            </w:pPr>
          </w:p>
        </w:tc>
        <w:tc>
          <w:tcPr>
            <w:tcW w:w="3543" w:type="dxa"/>
            <w:vAlign w:val="center"/>
          </w:tcPr>
          <w:p w:rsidR="00EF7D80" w:rsidRPr="00480784" w:rsidRDefault="00EF7D80" w:rsidP="00C01C6C">
            <w:pPr>
              <w:pStyle w:val="ListParagraph"/>
              <w:numPr>
                <w:ilvl w:val="0"/>
                <w:numId w:val="21"/>
              </w:numPr>
              <w:spacing w:beforeLines="30" w:afterLines="30"/>
              <w:ind w:left="174" w:hanging="141"/>
              <w:rPr>
                <w:rFonts w:ascii="Rockwell" w:hAnsi="Rockwell" w:cstheme="minorHAnsi"/>
                <w:sz w:val="16"/>
                <w:szCs w:val="16"/>
              </w:rPr>
            </w:pPr>
            <w:r w:rsidRPr="008B0A28">
              <w:rPr>
                <w:rFonts w:ascii="Rockwell" w:hAnsi="Rockwell" w:cstheme="minorHAnsi"/>
                <w:sz w:val="16"/>
                <w:szCs w:val="16"/>
              </w:rPr>
              <w:t xml:space="preserve">Ensure that there is equitable and universal access to services across Scotland.  </w:t>
            </w:r>
          </w:p>
          <w:p w:rsidR="00EF7D80" w:rsidRPr="008B0A28" w:rsidRDefault="00EF7D80" w:rsidP="00C01C6C">
            <w:pPr>
              <w:pStyle w:val="ListParagraph"/>
              <w:numPr>
                <w:ilvl w:val="0"/>
                <w:numId w:val="21"/>
              </w:numPr>
              <w:spacing w:beforeLines="30" w:afterLines="30"/>
              <w:ind w:left="174" w:hanging="141"/>
              <w:rPr>
                <w:rFonts w:ascii="Rockwell" w:hAnsi="Rockwell" w:cstheme="minorHAnsi"/>
                <w:sz w:val="16"/>
                <w:szCs w:val="16"/>
              </w:rPr>
            </w:pPr>
            <w:r w:rsidRPr="00480784">
              <w:rPr>
                <w:rFonts w:ascii="Rockwell" w:hAnsi="Rockwell" w:cstheme="minorHAnsi"/>
                <w:sz w:val="16"/>
                <w:szCs w:val="16"/>
              </w:rPr>
              <w:t xml:space="preserve">Look at </w:t>
            </w:r>
            <w:r w:rsidRPr="008B0A28">
              <w:rPr>
                <w:rFonts w:ascii="Rockwell" w:hAnsi="Rockwell" w:cstheme="minorHAnsi"/>
                <w:sz w:val="16"/>
                <w:szCs w:val="16"/>
              </w:rPr>
              <w:t xml:space="preserve">funding and resource provision that is not constrained by which local authority the </w:t>
            </w:r>
            <w:r w:rsidR="008B0A28">
              <w:rPr>
                <w:rFonts w:ascii="Rockwell" w:hAnsi="Rockwell" w:cstheme="minorHAnsi"/>
                <w:sz w:val="16"/>
                <w:szCs w:val="16"/>
              </w:rPr>
              <w:t>CYP</w:t>
            </w:r>
            <w:r w:rsidRPr="008B0A28">
              <w:rPr>
                <w:rFonts w:ascii="Rockwell" w:hAnsi="Rockwell" w:cstheme="minorHAnsi"/>
                <w:sz w:val="16"/>
                <w:szCs w:val="16"/>
              </w:rPr>
              <w:t>/ family live in</w:t>
            </w:r>
            <w:r w:rsidR="008B0A28">
              <w:rPr>
                <w:rFonts w:ascii="Rockwell" w:hAnsi="Rockwell" w:cstheme="minorHAnsi"/>
                <w:sz w:val="16"/>
                <w:szCs w:val="16"/>
              </w:rPr>
              <w:t>.</w:t>
            </w:r>
          </w:p>
        </w:tc>
        <w:tc>
          <w:tcPr>
            <w:tcW w:w="3402" w:type="dxa"/>
          </w:tcPr>
          <w:p w:rsidR="008B0A28" w:rsidRDefault="008B0A28" w:rsidP="00C01C6C">
            <w:pPr>
              <w:pStyle w:val="ListParagraph"/>
              <w:spacing w:beforeLines="30" w:afterLines="30"/>
              <w:ind w:left="174"/>
              <w:rPr>
                <w:rFonts w:ascii="Rockwell" w:eastAsia="Times New Roman" w:hAnsi="Rockwell" w:cstheme="minorHAnsi"/>
                <w:sz w:val="16"/>
                <w:szCs w:val="16"/>
                <w:lang w:eastAsia="en-GB"/>
              </w:rPr>
            </w:pPr>
          </w:p>
          <w:p w:rsidR="008B0A28" w:rsidRDefault="008B0A28" w:rsidP="00C01C6C">
            <w:pPr>
              <w:pStyle w:val="ListParagraph"/>
              <w:spacing w:beforeLines="30" w:afterLines="30"/>
              <w:ind w:left="174"/>
              <w:rPr>
                <w:rFonts w:ascii="Rockwell" w:eastAsia="Times New Roman" w:hAnsi="Rockwell" w:cstheme="minorHAnsi"/>
                <w:sz w:val="16"/>
                <w:szCs w:val="16"/>
                <w:lang w:eastAsia="en-GB"/>
              </w:rPr>
            </w:pPr>
          </w:p>
          <w:p w:rsidR="00EF7D80" w:rsidRPr="00480784" w:rsidRDefault="008B0A28" w:rsidP="00C01C6C">
            <w:pPr>
              <w:pStyle w:val="ListParagraph"/>
              <w:numPr>
                <w:ilvl w:val="0"/>
                <w:numId w:val="21"/>
              </w:numPr>
              <w:spacing w:beforeLines="30" w:afterLines="30"/>
              <w:ind w:left="174" w:hanging="141"/>
              <w:rPr>
                <w:rFonts w:ascii="Rockwell" w:eastAsia="Times New Roman" w:hAnsi="Rockwell" w:cstheme="minorHAnsi"/>
                <w:sz w:val="16"/>
                <w:szCs w:val="16"/>
                <w:lang w:eastAsia="en-GB"/>
              </w:rPr>
            </w:pPr>
            <w:r>
              <w:rPr>
                <w:rFonts w:ascii="Rockwell" w:eastAsia="Times New Roman" w:hAnsi="Rockwell" w:cstheme="minorHAnsi"/>
                <w:sz w:val="16"/>
                <w:szCs w:val="16"/>
                <w:lang w:eastAsia="en-GB"/>
              </w:rPr>
              <w:t>Put</w:t>
            </w:r>
            <w:r w:rsidRPr="008B0A28">
              <w:rPr>
                <w:rFonts w:ascii="Rockwell" w:eastAsia="Times New Roman" w:hAnsi="Rockwell" w:cstheme="minorHAnsi"/>
                <w:sz w:val="16"/>
                <w:szCs w:val="16"/>
                <w:lang w:eastAsia="en-GB"/>
              </w:rPr>
              <w:t xml:space="preserve"> a system in place to support consistency of decision-making and fairness in the allocation of resources.</w:t>
            </w:r>
          </w:p>
        </w:tc>
        <w:tc>
          <w:tcPr>
            <w:tcW w:w="4395" w:type="dxa"/>
            <w:vAlign w:val="center"/>
          </w:tcPr>
          <w:p w:rsidR="00EF7D80" w:rsidRPr="00480784" w:rsidRDefault="00EF7D80" w:rsidP="00C01C6C">
            <w:pPr>
              <w:spacing w:beforeLines="30" w:afterLines="30"/>
              <w:rPr>
                <w:rFonts w:ascii="Rockwell" w:eastAsia="Times New Roman" w:hAnsi="Rockwell" w:cstheme="minorHAnsi"/>
                <w:sz w:val="16"/>
                <w:szCs w:val="16"/>
                <w:lang w:eastAsia="en-GB"/>
              </w:rPr>
            </w:pPr>
          </w:p>
        </w:tc>
      </w:tr>
      <w:tr w:rsidR="006B4143" w:rsidRPr="00480784" w:rsidTr="006B4143">
        <w:tc>
          <w:tcPr>
            <w:tcW w:w="994" w:type="dxa"/>
            <w:vAlign w:val="center"/>
          </w:tcPr>
          <w:p w:rsidR="00EF7D80" w:rsidRPr="00480784" w:rsidRDefault="00EF7D80" w:rsidP="00C01C6C">
            <w:pPr>
              <w:spacing w:beforeLines="30" w:afterLines="30"/>
              <w:jc w:val="center"/>
              <w:rPr>
                <w:rFonts w:ascii="Rockwell" w:eastAsia="Times New Roman" w:hAnsi="Rockwell" w:cstheme="minorHAnsi"/>
                <w:i/>
                <w:sz w:val="16"/>
                <w:szCs w:val="16"/>
                <w:lang w:eastAsia="en-GB"/>
              </w:rPr>
            </w:pPr>
            <w:r w:rsidRPr="00480784">
              <w:rPr>
                <w:rFonts w:ascii="Rockwell" w:eastAsia="Times New Roman" w:hAnsi="Rockwell" w:cstheme="minorHAnsi"/>
                <w:i/>
                <w:sz w:val="16"/>
                <w:szCs w:val="16"/>
                <w:lang w:eastAsia="en-GB"/>
              </w:rPr>
              <w:t>Increasing need matched by resource</w:t>
            </w:r>
          </w:p>
        </w:tc>
        <w:tc>
          <w:tcPr>
            <w:tcW w:w="4110" w:type="dxa"/>
            <w:vAlign w:val="center"/>
          </w:tcPr>
          <w:p w:rsidR="00EF7D80" w:rsidRPr="00480784" w:rsidRDefault="008B0A28" w:rsidP="00C01C6C">
            <w:pPr>
              <w:pStyle w:val="ListParagraph"/>
              <w:numPr>
                <w:ilvl w:val="0"/>
                <w:numId w:val="21"/>
              </w:numPr>
              <w:spacing w:beforeLines="30" w:afterLines="30"/>
              <w:ind w:left="174" w:hanging="141"/>
              <w:rPr>
                <w:rFonts w:ascii="Rockwell" w:hAnsi="Rockwell" w:cstheme="minorHAnsi"/>
                <w:sz w:val="16"/>
                <w:szCs w:val="16"/>
              </w:rPr>
            </w:pPr>
            <w:r>
              <w:rPr>
                <w:rFonts w:ascii="Rockwell" w:hAnsi="Rockwell" w:cstheme="minorHAnsi"/>
                <w:sz w:val="16"/>
                <w:szCs w:val="16"/>
              </w:rPr>
              <w:t>E</w:t>
            </w:r>
            <w:r w:rsidR="00EF7D80" w:rsidRPr="00480784">
              <w:rPr>
                <w:rFonts w:ascii="Rockwell" w:hAnsi="Rockwell" w:cstheme="minorHAnsi"/>
                <w:sz w:val="16"/>
                <w:szCs w:val="16"/>
              </w:rPr>
              <w:t>nsure that budgets and staffing levels for disabled children’s services are sufficient to meet assessed need as well as the increasing number of service users and complexity of some cases.</w:t>
            </w:r>
          </w:p>
          <w:p w:rsidR="00EF7D80" w:rsidRPr="00EF7D80" w:rsidRDefault="00EF7D80" w:rsidP="00C01C6C">
            <w:pPr>
              <w:pStyle w:val="ListParagraph"/>
              <w:numPr>
                <w:ilvl w:val="0"/>
                <w:numId w:val="21"/>
              </w:numPr>
              <w:spacing w:beforeLines="30" w:afterLines="30"/>
              <w:ind w:left="174" w:hanging="141"/>
              <w:rPr>
                <w:rFonts w:ascii="Rockwell" w:hAnsi="Rockwell" w:cstheme="minorHAnsi"/>
                <w:sz w:val="16"/>
                <w:szCs w:val="16"/>
              </w:rPr>
            </w:pPr>
            <w:r w:rsidRPr="00480784">
              <w:rPr>
                <w:rFonts w:ascii="Rockwell" w:hAnsi="Rockwell" w:cstheme="minorHAnsi"/>
                <w:sz w:val="16"/>
                <w:szCs w:val="16"/>
              </w:rPr>
              <w:t>Make the case against cuts in services</w:t>
            </w:r>
            <w:r w:rsidR="008B0A28">
              <w:rPr>
                <w:rFonts w:ascii="Rockwell" w:hAnsi="Rockwell" w:cstheme="minorHAnsi"/>
                <w:sz w:val="16"/>
                <w:szCs w:val="16"/>
              </w:rPr>
              <w:t>.</w:t>
            </w:r>
          </w:p>
        </w:tc>
        <w:tc>
          <w:tcPr>
            <w:tcW w:w="3543" w:type="dxa"/>
            <w:vAlign w:val="center"/>
          </w:tcPr>
          <w:p w:rsidR="008B0A28" w:rsidRPr="008B0A28" w:rsidRDefault="008B0A28" w:rsidP="00C01C6C">
            <w:pPr>
              <w:pStyle w:val="ListParagraph"/>
              <w:numPr>
                <w:ilvl w:val="0"/>
                <w:numId w:val="21"/>
              </w:numPr>
              <w:spacing w:beforeLines="30" w:afterLines="30"/>
              <w:ind w:left="174" w:hanging="141"/>
              <w:rPr>
                <w:rFonts w:ascii="Rockwell" w:hAnsi="Rockwell" w:cstheme="minorHAnsi"/>
                <w:sz w:val="16"/>
                <w:szCs w:val="16"/>
              </w:rPr>
            </w:pPr>
            <w:r w:rsidRPr="008B0A28">
              <w:rPr>
                <w:rFonts w:ascii="Rockwell" w:hAnsi="Rockwell" w:cstheme="minorHAnsi"/>
                <w:sz w:val="16"/>
                <w:szCs w:val="16"/>
              </w:rPr>
              <w:t xml:space="preserve">Avoid emphasis on the cost of care and start evaluating it in terms of promoting wellbeing </w:t>
            </w:r>
            <w:r>
              <w:rPr>
                <w:rFonts w:ascii="Rockwell" w:hAnsi="Rockwell" w:cstheme="minorHAnsi"/>
                <w:sz w:val="16"/>
                <w:szCs w:val="16"/>
              </w:rPr>
              <w:t>for the whole family &amp; society</w:t>
            </w:r>
            <w:r w:rsidRPr="008B0A28">
              <w:rPr>
                <w:rFonts w:ascii="Rockwell" w:hAnsi="Rockwell" w:cstheme="minorHAnsi"/>
                <w:sz w:val="16"/>
                <w:szCs w:val="16"/>
              </w:rPr>
              <w:t xml:space="preserve">. </w:t>
            </w:r>
          </w:p>
          <w:p w:rsidR="00EF7D80" w:rsidRPr="00480784" w:rsidRDefault="00EF7D80" w:rsidP="00C01C6C">
            <w:pPr>
              <w:pStyle w:val="ListParagraph"/>
              <w:numPr>
                <w:ilvl w:val="0"/>
                <w:numId w:val="21"/>
              </w:numPr>
              <w:spacing w:beforeLines="30" w:afterLines="30"/>
              <w:ind w:left="174" w:hanging="141"/>
              <w:rPr>
                <w:rFonts w:ascii="Rockwell" w:hAnsi="Rockwell" w:cstheme="minorHAnsi"/>
                <w:sz w:val="16"/>
                <w:szCs w:val="16"/>
              </w:rPr>
            </w:pPr>
            <w:r w:rsidRPr="00480784">
              <w:rPr>
                <w:rFonts w:ascii="Rockwell" w:hAnsi="Rockwell" w:cstheme="minorHAnsi"/>
                <w:sz w:val="16"/>
                <w:szCs w:val="16"/>
              </w:rPr>
              <w:t>Consider how to address the rising demand while costs are reducing—in particular, ensure that contract staff communicate clearly with professionals working on the front line.</w:t>
            </w:r>
          </w:p>
          <w:p w:rsidR="00EF7D80" w:rsidRPr="00480784" w:rsidRDefault="00EF7D80" w:rsidP="00C01C6C">
            <w:pPr>
              <w:pStyle w:val="ListParagraph"/>
              <w:numPr>
                <w:ilvl w:val="0"/>
                <w:numId w:val="21"/>
              </w:numPr>
              <w:spacing w:beforeLines="30" w:afterLines="30"/>
              <w:ind w:left="174" w:hanging="141"/>
              <w:rPr>
                <w:rFonts w:ascii="Rockwell" w:hAnsi="Rockwell" w:cstheme="minorHAnsi"/>
                <w:sz w:val="16"/>
                <w:szCs w:val="16"/>
              </w:rPr>
            </w:pPr>
            <w:r w:rsidRPr="00480784">
              <w:rPr>
                <w:rFonts w:ascii="Rockwell" w:hAnsi="Rockwell" w:cstheme="minorHAnsi"/>
                <w:sz w:val="16"/>
                <w:szCs w:val="16"/>
              </w:rPr>
              <w:t>Examine how to manage unrealistic expectations where there is a limited budget.</w:t>
            </w:r>
          </w:p>
          <w:p w:rsidR="00EF7D80" w:rsidRPr="008B0A28" w:rsidRDefault="00EF7D80" w:rsidP="00C01C6C">
            <w:pPr>
              <w:pStyle w:val="ListParagraph"/>
              <w:numPr>
                <w:ilvl w:val="0"/>
                <w:numId w:val="21"/>
              </w:numPr>
              <w:spacing w:beforeLines="30" w:afterLines="30"/>
              <w:ind w:left="174" w:hanging="141"/>
              <w:rPr>
                <w:rFonts w:ascii="Rockwell" w:hAnsi="Rockwell" w:cstheme="minorHAnsi"/>
                <w:sz w:val="16"/>
                <w:szCs w:val="16"/>
              </w:rPr>
            </w:pPr>
            <w:r w:rsidRPr="008B0A28">
              <w:rPr>
                <w:rFonts w:ascii="Rockwell" w:hAnsi="Rockwell" w:cstheme="minorHAnsi"/>
                <w:sz w:val="16"/>
                <w:szCs w:val="16"/>
              </w:rPr>
              <w:t>Address limited local authority funding.</w:t>
            </w:r>
          </w:p>
        </w:tc>
        <w:tc>
          <w:tcPr>
            <w:tcW w:w="3402" w:type="dxa"/>
          </w:tcPr>
          <w:p w:rsidR="00EF7D80" w:rsidRPr="00480784" w:rsidRDefault="00EF7D80" w:rsidP="00C01C6C">
            <w:pPr>
              <w:spacing w:beforeLines="30" w:afterLines="30"/>
              <w:rPr>
                <w:rFonts w:ascii="Rockwell" w:eastAsia="Times New Roman" w:hAnsi="Rockwell" w:cstheme="minorHAnsi"/>
                <w:sz w:val="16"/>
                <w:szCs w:val="16"/>
                <w:lang w:eastAsia="en-GB"/>
              </w:rPr>
            </w:pPr>
          </w:p>
        </w:tc>
        <w:tc>
          <w:tcPr>
            <w:tcW w:w="4395" w:type="dxa"/>
            <w:vAlign w:val="center"/>
          </w:tcPr>
          <w:p w:rsidR="00EF7D80" w:rsidRPr="00480784" w:rsidRDefault="00EF7D80" w:rsidP="00C01C6C">
            <w:pPr>
              <w:spacing w:beforeLines="30" w:afterLines="30"/>
              <w:rPr>
                <w:rFonts w:ascii="Rockwell" w:eastAsia="Times New Roman" w:hAnsi="Rockwell" w:cstheme="minorHAnsi"/>
                <w:sz w:val="16"/>
                <w:szCs w:val="16"/>
                <w:lang w:eastAsia="en-GB"/>
              </w:rPr>
            </w:pPr>
          </w:p>
        </w:tc>
      </w:tr>
      <w:tr w:rsidR="008B0A28" w:rsidRPr="00480784" w:rsidTr="00FA6DD4">
        <w:trPr>
          <w:trHeight w:val="327"/>
        </w:trPr>
        <w:tc>
          <w:tcPr>
            <w:tcW w:w="16444" w:type="dxa"/>
            <w:gridSpan w:val="5"/>
            <w:tcBorders>
              <w:top w:val="single" w:sz="12" w:space="0" w:color="002060"/>
              <w:bottom w:val="single" w:sz="12" w:space="0" w:color="002060"/>
            </w:tcBorders>
            <w:shd w:val="clear" w:color="auto" w:fill="F3FAFF"/>
          </w:tcPr>
          <w:p w:rsidR="008B0A28" w:rsidRPr="00480784" w:rsidRDefault="008B0A28" w:rsidP="00C01C6C">
            <w:pPr>
              <w:spacing w:beforeLines="30" w:afterLines="30"/>
              <w:jc w:val="center"/>
              <w:rPr>
                <w:rFonts w:ascii="Rockwell" w:hAnsi="Rockwell" w:cstheme="minorHAnsi"/>
                <w:sz w:val="16"/>
                <w:szCs w:val="16"/>
              </w:rPr>
            </w:pPr>
            <w:r w:rsidRPr="00480784">
              <w:rPr>
                <w:rFonts w:ascii="Rockwell" w:eastAsia="Times New Roman" w:hAnsi="Rockwell" w:cstheme="minorHAnsi"/>
                <w:b/>
                <w:i/>
                <w:sz w:val="18"/>
                <w:szCs w:val="18"/>
                <w:lang w:eastAsia="en-GB"/>
              </w:rPr>
              <w:t>Theme: Self-Directed Support</w:t>
            </w:r>
            <w:r>
              <w:rPr>
                <w:rFonts w:ascii="Rockwell" w:eastAsia="Times New Roman" w:hAnsi="Rockwell" w:cstheme="minorHAnsi"/>
                <w:b/>
                <w:i/>
                <w:sz w:val="18"/>
                <w:szCs w:val="18"/>
                <w:lang w:eastAsia="en-GB"/>
              </w:rPr>
              <w:t xml:space="preserve"> (SDS)</w:t>
            </w:r>
          </w:p>
        </w:tc>
      </w:tr>
      <w:tr w:rsidR="006B4143" w:rsidRPr="00480784" w:rsidTr="008B0A28">
        <w:trPr>
          <w:trHeight w:val="215"/>
        </w:trPr>
        <w:tc>
          <w:tcPr>
            <w:tcW w:w="994" w:type="dxa"/>
            <w:tcBorders>
              <w:top w:val="single" w:sz="12" w:space="0" w:color="002060"/>
              <w:bottom w:val="single" w:sz="12" w:space="0" w:color="002060"/>
            </w:tcBorders>
            <w:vAlign w:val="center"/>
          </w:tcPr>
          <w:p w:rsidR="00EF7D80" w:rsidRPr="00480784" w:rsidRDefault="00EF7D80" w:rsidP="00C01C6C">
            <w:pPr>
              <w:spacing w:beforeLines="30" w:afterLines="30"/>
              <w:jc w:val="center"/>
              <w:rPr>
                <w:rFonts w:ascii="Rockwell" w:eastAsia="Times New Roman" w:hAnsi="Rockwell" w:cstheme="minorHAnsi"/>
                <w:i/>
                <w:sz w:val="16"/>
                <w:szCs w:val="16"/>
                <w:lang w:eastAsia="en-GB"/>
              </w:rPr>
            </w:pPr>
            <w:r w:rsidRPr="00480784">
              <w:rPr>
                <w:rFonts w:ascii="Rockwell" w:eastAsia="Times New Roman" w:hAnsi="Rockwell" w:cstheme="minorHAnsi"/>
                <w:i/>
                <w:sz w:val="16"/>
                <w:szCs w:val="16"/>
                <w:lang w:eastAsia="en-GB"/>
              </w:rPr>
              <w:lastRenderedPageBreak/>
              <w:t>Self-Directed Support</w:t>
            </w:r>
          </w:p>
        </w:tc>
        <w:tc>
          <w:tcPr>
            <w:tcW w:w="4110" w:type="dxa"/>
            <w:tcBorders>
              <w:top w:val="single" w:sz="12" w:space="0" w:color="002060"/>
              <w:bottom w:val="single" w:sz="12" w:space="0" w:color="002060"/>
            </w:tcBorders>
            <w:vAlign w:val="center"/>
          </w:tcPr>
          <w:p w:rsidR="00EF7D80" w:rsidRPr="00480784" w:rsidRDefault="00EF7D80" w:rsidP="00C01C6C">
            <w:pPr>
              <w:pStyle w:val="ListParagraph"/>
              <w:numPr>
                <w:ilvl w:val="0"/>
                <w:numId w:val="21"/>
              </w:numPr>
              <w:spacing w:beforeLines="30" w:afterLines="30"/>
              <w:ind w:left="174" w:hanging="141"/>
              <w:rPr>
                <w:rFonts w:ascii="Rockwell" w:hAnsi="Rockwell" w:cstheme="minorHAnsi"/>
                <w:sz w:val="16"/>
                <w:szCs w:val="16"/>
              </w:rPr>
            </w:pPr>
            <w:r w:rsidRPr="00480784">
              <w:rPr>
                <w:rFonts w:ascii="Rockwell" w:hAnsi="Rockwell" w:cstheme="minorHAnsi"/>
                <w:sz w:val="16"/>
                <w:szCs w:val="16"/>
              </w:rPr>
              <w:t>Ensure that statutory guidance sets out how quality of care is to be monitored, and how CYP will be informed about their rights under SDS.</w:t>
            </w:r>
          </w:p>
          <w:p w:rsidR="00EF7D80" w:rsidRPr="00480784" w:rsidRDefault="00EF7D80" w:rsidP="00C01C6C">
            <w:pPr>
              <w:pStyle w:val="ListParagraph"/>
              <w:numPr>
                <w:ilvl w:val="0"/>
                <w:numId w:val="21"/>
              </w:numPr>
              <w:spacing w:beforeLines="30" w:afterLines="30"/>
              <w:ind w:left="174" w:hanging="141"/>
              <w:rPr>
                <w:rFonts w:ascii="Rockwell" w:hAnsi="Rockwell" w:cstheme="minorHAnsi"/>
                <w:sz w:val="16"/>
                <w:szCs w:val="16"/>
              </w:rPr>
            </w:pPr>
            <w:r w:rsidRPr="00480784">
              <w:rPr>
                <w:rFonts w:ascii="Rockwell" w:hAnsi="Rockwell" w:cstheme="minorHAnsi"/>
                <w:sz w:val="16"/>
                <w:szCs w:val="16"/>
              </w:rPr>
              <w:t xml:space="preserve">Involve young disabled people in local development. </w:t>
            </w:r>
          </w:p>
          <w:p w:rsidR="00EF7D80" w:rsidRPr="00480784" w:rsidRDefault="00EF7D80" w:rsidP="00C01C6C">
            <w:pPr>
              <w:pStyle w:val="ListParagraph"/>
              <w:numPr>
                <w:ilvl w:val="0"/>
                <w:numId w:val="21"/>
              </w:numPr>
              <w:spacing w:beforeLines="30" w:afterLines="30"/>
              <w:ind w:left="174" w:hanging="141"/>
              <w:rPr>
                <w:rFonts w:ascii="Rockwell" w:hAnsi="Rockwell" w:cstheme="minorHAnsi"/>
                <w:sz w:val="16"/>
                <w:szCs w:val="16"/>
              </w:rPr>
            </w:pPr>
            <w:r w:rsidRPr="00480784">
              <w:rPr>
                <w:rFonts w:ascii="Rockwell" w:hAnsi="Rockwell" w:cstheme="minorHAnsi"/>
                <w:sz w:val="16"/>
                <w:szCs w:val="16"/>
              </w:rPr>
              <w:t xml:space="preserve">Research </w:t>
            </w:r>
            <w:r>
              <w:rPr>
                <w:rFonts w:ascii="Rockwell" w:hAnsi="Rockwell" w:cstheme="minorHAnsi"/>
                <w:sz w:val="16"/>
                <w:szCs w:val="16"/>
              </w:rPr>
              <w:t xml:space="preserve">the </w:t>
            </w:r>
            <w:r w:rsidRPr="00480784">
              <w:rPr>
                <w:rFonts w:ascii="Rockwell" w:hAnsi="Rockwell" w:cstheme="minorHAnsi"/>
                <w:sz w:val="16"/>
                <w:szCs w:val="16"/>
              </w:rPr>
              <w:t>potential impact of SDS on disabled children.</w:t>
            </w:r>
          </w:p>
          <w:p w:rsidR="00EF7D80" w:rsidRPr="00480784" w:rsidRDefault="00EF7D80" w:rsidP="00C01C6C">
            <w:pPr>
              <w:pStyle w:val="ListParagraph"/>
              <w:numPr>
                <w:ilvl w:val="0"/>
                <w:numId w:val="21"/>
              </w:numPr>
              <w:spacing w:beforeLines="30" w:afterLines="30"/>
              <w:ind w:left="174" w:hanging="141"/>
              <w:rPr>
                <w:rFonts w:ascii="Rockwell" w:hAnsi="Rockwell" w:cstheme="minorHAnsi"/>
                <w:sz w:val="16"/>
                <w:szCs w:val="16"/>
              </w:rPr>
            </w:pPr>
            <w:r w:rsidRPr="00480784">
              <w:rPr>
                <w:rFonts w:ascii="Rockwell" w:hAnsi="Rockwell" w:cstheme="minorHAnsi"/>
                <w:sz w:val="16"/>
                <w:szCs w:val="16"/>
              </w:rPr>
              <w:t>Ensure disabled YP and their families have access to info about its potential benefits of SDS.</w:t>
            </w:r>
          </w:p>
          <w:p w:rsidR="00EF7D80" w:rsidRPr="00480784" w:rsidRDefault="00EF7D80" w:rsidP="00C01C6C">
            <w:pPr>
              <w:pStyle w:val="ListParagraph"/>
              <w:numPr>
                <w:ilvl w:val="0"/>
                <w:numId w:val="21"/>
              </w:numPr>
              <w:spacing w:beforeLines="30" w:afterLines="30"/>
              <w:ind w:left="174" w:hanging="141"/>
              <w:rPr>
                <w:rFonts w:ascii="Rockwell" w:hAnsi="Rockwell" w:cstheme="minorHAnsi"/>
                <w:sz w:val="16"/>
                <w:szCs w:val="16"/>
              </w:rPr>
            </w:pPr>
            <w:r w:rsidRPr="00480784">
              <w:rPr>
                <w:rFonts w:ascii="Rockwell" w:hAnsi="Rockwell" w:cstheme="minorHAnsi"/>
                <w:sz w:val="16"/>
                <w:szCs w:val="16"/>
              </w:rPr>
              <w:t xml:space="preserve">Ensure families get practical assistance with admin associated with SDS. </w:t>
            </w:r>
          </w:p>
        </w:tc>
        <w:tc>
          <w:tcPr>
            <w:tcW w:w="3543" w:type="dxa"/>
            <w:tcBorders>
              <w:top w:val="single" w:sz="12" w:space="0" w:color="002060"/>
              <w:bottom w:val="single" w:sz="12" w:space="0" w:color="002060"/>
            </w:tcBorders>
            <w:vAlign w:val="center"/>
          </w:tcPr>
          <w:p w:rsidR="00EF7D80" w:rsidRPr="00480784" w:rsidRDefault="00EF7D80" w:rsidP="00C01C6C">
            <w:pPr>
              <w:spacing w:beforeLines="30" w:afterLines="30"/>
              <w:rPr>
                <w:rFonts w:ascii="Rockwell" w:hAnsi="Rockwell" w:cstheme="minorHAnsi"/>
                <w:sz w:val="16"/>
                <w:szCs w:val="16"/>
              </w:rPr>
            </w:pPr>
            <w:r w:rsidRPr="00480784">
              <w:rPr>
                <w:rFonts w:ascii="Rockwell" w:eastAsia="Times New Roman" w:hAnsi="Rockwell" w:cstheme="minorHAnsi"/>
                <w:sz w:val="16"/>
                <w:szCs w:val="16"/>
                <w:lang w:eastAsia="en-GB"/>
              </w:rPr>
              <w:t xml:space="preserve">Research </w:t>
            </w:r>
            <w:r w:rsidRPr="00480784">
              <w:rPr>
                <w:rFonts w:ascii="Rockwell" w:hAnsi="Rockwell" w:cstheme="minorHAnsi"/>
                <w:sz w:val="16"/>
                <w:szCs w:val="16"/>
              </w:rPr>
              <w:t xml:space="preserve">and assess the implications of </w:t>
            </w:r>
            <w:r w:rsidRPr="00480784">
              <w:rPr>
                <w:rFonts w:ascii="Rockwell" w:eastAsia="Times New Roman" w:hAnsi="Rockwell" w:cstheme="minorHAnsi"/>
                <w:sz w:val="16"/>
                <w:szCs w:val="16"/>
                <w:lang w:eastAsia="en-GB"/>
              </w:rPr>
              <w:t>SDS on existing core services/ care packages</w:t>
            </w:r>
            <w:r w:rsidRPr="00480784">
              <w:rPr>
                <w:rFonts w:ascii="Rockwell" w:hAnsi="Rockwell" w:cstheme="minorHAnsi"/>
                <w:sz w:val="16"/>
                <w:szCs w:val="16"/>
              </w:rPr>
              <w:t xml:space="preserve">. </w:t>
            </w:r>
          </w:p>
        </w:tc>
        <w:tc>
          <w:tcPr>
            <w:tcW w:w="3402" w:type="dxa"/>
            <w:tcBorders>
              <w:top w:val="single" w:sz="12" w:space="0" w:color="002060"/>
              <w:bottom w:val="single" w:sz="12" w:space="0" w:color="002060"/>
            </w:tcBorders>
          </w:tcPr>
          <w:p w:rsidR="00EF7D80" w:rsidRPr="00480784" w:rsidRDefault="00EF7D80" w:rsidP="00C01C6C">
            <w:pPr>
              <w:spacing w:beforeLines="30" w:afterLines="30"/>
              <w:rPr>
                <w:rFonts w:ascii="Rockwell" w:hAnsi="Rockwell" w:cstheme="minorHAnsi"/>
                <w:sz w:val="16"/>
                <w:szCs w:val="16"/>
              </w:rPr>
            </w:pPr>
          </w:p>
        </w:tc>
        <w:tc>
          <w:tcPr>
            <w:tcW w:w="4395" w:type="dxa"/>
            <w:tcBorders>
              <w:top w:val="single" w:sz="12" w:space="0" w:color="002060"/>
              <w:bottom w:val="single" w:sz="12" w:space="0" w:color="002060"/>
            </w:tcBorders>
            <w:vAlign w:val="center"/>
          </w:tcPr>
          <w:p w:rsidR="00EF7D80" w:rsidRPr="00480784" w:rsidRDefault="00EF7D80" w:rsidP="00C01C6C">
            <w:pPr>
              <w:spacing w:beforeLines="30" w:afterLines="30"/>
              <w:rPr>
                <w:rFonts w:ascii="Rockwell" w:hAnsi="Rockwell" w:cstheme="minorHAnsi"/>
                <w:sz w:val="16"/>
                <w:szCs w:val="16"/>
              </w:rPr>
            </w:pPr>
          </w:p>
        </w:tc>
      </w:tr>
      <w:tr w:rsidR="007D559C" w:rsidRPr="00480784" w:rsidTr="007D559C">
        <w:trPr>
          <w:trHeight w:val="407"/>
        </w:trPr>
        <w:tc>
          <w:tcPr>
            <w:tcW w:w="16444" w:type="dxa"/>
            <w:gridSpan w:val="5"/>
            <w:tcBorders>
              <w:top w:val="nil"/>
            </w:tcBorders>
            <w:shd w:val="clear" w:color="auto" w:fill="F3FAFF"/>
          </w:tcPr>
          <w:p w:rsidR="007D559C" w:rsidRPr="00480784" w:rsidRDefault="007D559C" w:rsidP="00C01C6C">
            <w:pPr>
              <w:spacing w:beforeLines="30" w:afterLines="30"/>
              <w:jc w:val="center"/>
              <w:rPr>
                <w:rFonts w:ascii="Rockwell" w:eastAsia="Times New Roman" w:hAnsi="Rockwell" w:cstheme="minorHAnsi"/>
                <w:b/>
                <w:i/>
                <w:sz w:val="18"/>
                <w:szCs w:val="18"/>
                <w:lang w:eastAsia="en-GB"/>
              </w:rPr>
            </w:pPr>
            <w:r w:rsidRPr="00480784">
              <w:rPr>
                <w:rFonts w:ascii="Rockwell" w:eastAsia="Times New Roman" w:hAnsi="Rockwell" w:cstheme="minorHAnsi"/>
                <w:b/>
                <w:i/>
                <w:sz w:val="18"/>
                <w:szCs w:val="18"/>
                <w:lang w:eastAsia="en-GB"/>
              </w:rPr>
              <w:t>Theme: Research</w:t>
            </w:r>
          </w:p>
        </w:tc>
      </w:tr>
      <w:tr w:rsidR="006B4143" w:rsidRPr="00480784" w:rsidTr="006B4143">
        <w:trPr>
          <w:trHeight w:val="566"/>
        </w:trPr>
        <w:tc>
          <w:tcPr>
            <w:tcW w:w="994" w:type="dxa"/>
            <w:tcBorders>
              <w:top w:val="single" w:sz="12" w:space="0" w:color="002060"/>
              <w:bottom w:val="single" w:sz="12" w:space="0" w:color="002060"/>
            </w:tcBorders>
            <w:vAlign w:val="center"/>
          </w:tcPr>
          <w:p w:rsidR="00EF7D80" w:rsidRPr="00480784" w:rsidRDefault="00EF7D80" w:rsidP="00C01C6C">
            <w:pPr>
              <w:spacing w:beforeLines="30" w:afterLines="30"/>
              <w:jc w:val="center"/>
              <w:rPr>
                <w:rFonts w:ascii="Rockwell" w:hAnsi="Rockwell" w:cstheme="minorHAnsi"/>
                <w:i/>
                <w:sz w:val="16"/>
                <w:szCs w:val="16"/>
              </w:rPr>
            </w:pPr>
            <w:r w:rsidRPr="00480784">
              <w:rPr>
                <w:rFonts w:ascii="Rockwell" w:eastAsia="Times New Roman" w:hAnsi="Rockwell" w:cstheme="minorHAnsi"/>
                <w:i/>
                <w:sz w:val="16"/>
                <w:szCs w:val="16"/>
                <w:lang w:eastAsia="en-GB"/>
              </w:rPr>
              <w:t>Additional research requests</w:t>
            </w:r>
          </w:p>
        </w:tc>
        <w:tc>
          <w:tcPr>
            <w:tcW w:w="4110" w:type="dxa"/>
            <w:tcBorders>
              <w:top w:val="single" w:sz="12" w:space="0" w:color="002060"/>
              <w:bottom w:val="single" w:sz="12" w:space="0" w:color="002060"/>
            </w:tcBorders>
            <w:vAlign w:val="center"/>
          </w:tcPr>
          <w:p w:rsidR="00EF7D80" w:rsidRPr="00480784" w:rsidRDefault="00EF7D80" w:rsidP="00C01C6C">
            <w:pPr>
              <w:spacing w:beforeLines="30" w:afterLines="30"/>
              <w:rPr>
                <w:rFonts w:ascii="Rockwell" w:hAnsi="Rockwell" w:cstheme="minorHAnsi"/>
                <w:sz w:val="16"/>
                <w:szCs w:val="16"/>
              </w:rPr>
            </w:pPr>
            <w:r w:rsidRPr="00480784">
              <w:rPr>
                <w:rFonts w:ascii="Rockwell" w:hAnsi="Rockwell" w:cstheme="minorHAnsi"/>
                <w:sz w:val="16"/>
                <w:szCs w:val="16"/>
              </w:rPr>
              <w:t>Research the following areas:</w:t>
            </w:r>
          </w:p>
          <w:p w:rsidR="00EF7D80" w:rsidRPr="00480784" w:rsidRDefault="00EF7D80" w:rsidP="00C01C6C">
            <w:pPr>
              <w:pStyle w:val="ListParagraph"/>
              <w:numPr>
                <w:ilvl w:val="0"/>
                <w:numId w:val="21"/>
              </w:numPr>
              <w:spacing w:beforeLines="30" w:afterLines="30"/>
              <w:ind w:left="174" w:hanging="141"/>
              <w:rPr>
                <w:rFonts w:ascii="Rockwell" w:hAnsi="Rockwell" w:cstheme="minorHAnsi"/>
                <w:sz w:val="16"/>
                <w:szCs w:val="16"/>
              </w:rPr>
            </w:pPr>
            <w:r w:rsidRPr="00480784">
              <w:rPr>
                <w:rFonts w:ascii="Rockwell" w:hAnsi="Rockwell" w:cstheme="minorHAnsi"/>
                <w:sz w:val="16"/>
                <w:szCs w:val="16"/>
              </w:rPr>
              <w:t>The impact of the Equality Act 2010 on disabled CYP</w:t>
            </w:r>
          </w:p>
          <w:p w:rsidR="00EF7D80" w:rsidRPr="00480784" w:rsidRDefault="00EF7D80" w:rsidP="00C01C6C">
            <w:pPr>
              <w:pStyle w:val="ListParagraph"/>
              <w:numPr>
                <w:ilvl w:val="0"/>
                <w:numId w:val="21"/>
              </w:numPr>
              <w:spacing w:beforeLines="30" w:afterLines="30"/>
              <w:ind w:left="174" w:hanging="141"/>
              <w:rPr>
                <w:rFonts w:ascii="Rockwell" w:hAnsi="Rockwell" w:cstheme="minorHAnsi"/>
                <w:sz w:val="16"/>
                <w:szCs w:val="16"/>
              </w:rPr>
            </w:pPr>
            <w:r w:rsidRPr="00480784">
              <w:rPr>
                <w:rFonts w:ascii="Rockwell" w:hAnsi="Rockwell" w:cstheme="minorHAnsi"/>
                <w:sz w:val="16"/>
                <w:szCs w:val="16"/>
              </w:rPr>
              <w:t>The effectiveness of strategies for tackling disability</w:t>
            </w:r>
            <w:r w:rsidR="008B0A28">
              <w:rPr>
                <w:rFonts w:ascii="Rockwell" w:hAnsi="Rockwell" w:cstheme="minorHAnsi"/>
                <w:sz w:val="16"/>
                <w:szCs w:val="16"/>
              </w:rPr>
              <w:t>-related</w:t>
            </w:r>
            <w:r w:rsidRPr="00480784">
              <w:rPr>
                <w:rFonts w:ascii="Rockwell" w:hAnsi="Rockwell" w:cstheme="minorHAnsi"/>
                <w:sz w:val="16"/>
                <w:szCs w:val="16"/>
              </w:rPr>
              <w:t xml:space="preserve"> bullying </w:t>
            </w:r>
          </w:p>
          <w:p w:rsidR="00EF7D80" w:rsidRPr="00480784" w:rsidRDefault="00EF7D80" w:rsidP="00C01C6C">
            <w:pPr>
              <w:pStyle w:val="ListParagraph"/>
              <w:numPr>
                <w:ilvl w:val="0"/>
                <w:numId w:val="21"/>
              </w:numPr>
              <w:spacing w:beforeLines="30" w:afterLines="30"/>
              <w:ind w:left="174" w:hanging="141"/>
              <w:rPr>
                <w:rFonts w:ascii="Rockwell" w:hAnsi="Rockwell" w:cstheme="minorHAnsi"/>
                <w:sz w:val="16"/>
                <w:szCs w:val="16"/>
              </w:rPr>
            </w:pPr>
            <w:r w:rsidRPr="00480784">
              <w:rPr>
                <w:rFonts w:ascii="Rockwell" w:hAnsi="Rockwell" w:cstheme="minorHAnsi"/>
                <w:sz w:val="16"/>
                <w:szCs w:val="16"/>
              </w:rPr>
              <w:t xml:space="preserve">The pattern of short breaks for disabled children across Scotland </w:t>
            </w:r>
          </w:p>
          <w:p w:rsidR="00EF7D80" w:rsidRPr="00480784" w:rsidRDefault="00EF7D80" w:rsidP="00C01C6C">
            <w:pPr>
              <w:pStyle w:val="ListParagraph"/>
              <w:numPr>
                <w:ilvl w:val="0"/>
                <w:numId w:val="21"/>
              </w:numPr>
              <w:spacing w:beforeLines="30" w:afterLines="30"/>
              <w:ind w:left="174" w:hanging="141"/>
              <w:rPr>
                <w:rFonts w:ascii="Rockwell" w:hAnsi="Rockwell" w:cstheme="minorHAnsi"/>
                <w:sz w:val="16"/>
                <w:szCs w:val="16"/>
              </w:rPr>
            </w:pPr>
            <w:r w:rsidRPr="00480784">
              <w:rPr>
                <w:rFonts w:ascii="Rockwell" w:hAnsi="Rockwell" w:cstheme="minorHAnsi"/>
                <w:sz w:val="16"/>
                <w:szCs w:val="16"/>
              </w:rPr>
              <w:t>The high numbers of disabled children being excluded from school</w:t>
            </w:r>
          </w:p>
          <w:p w:rsidR="00EF7D80" w:rsidRPr="00480784" w:rsidRDefault="00EF7D80" w:rsidP="00C01C6C">
            <w:pPr>
              <w:pStyle w:val="ListParagraph"/>
              <w:numPr>
                <w:ilvl w:val="0"/>
                <w:numId w:val="21"/>
              </w:numPr>
              <w:spacing w:beforeLines="30" w:afterLines="30"/>
              <w:ind w:left="174" w:hanging="141"/>
              <w:rPr>
                <w:rFonts w:ascii="Rockwell" w:hAnsi="Rockwell" w:cstheme="minorHAnsi"/>
                <w:sz w:val="16"/>
                <w:szCs w:val="16"/>
              </w:rPr>
            </w:pPr>
            <w:r w:rsidRPr="00480784">
              <w:rPr>
                <w:rFonts w:ascii="Rockwell" w:hAnsi="Rockwell" w:cstheme="minorHAnsi"/>
                <w:sz w:val="16"/>
                <w:szCs w:val="16"/>
              </w:rPr>
              <w:t>The implementation of Curriculum for Excellence for children with complex needs.</w:t>
            </w:r>
          </w:p>
        </w:tc>
        <w:tc>
          <w:tcPr>
            <w:tcW w:w="3543" w:type="dxa"/>
            <w:tcBorders>
              <w:top w:val="single" w:sz="12" w:space="0" w:color="002060"/>
              <w:bottom w:val="single" w:sz="12" w:space="0" w:color="002060"/>
            </w:tcBorders>
            <w:vAlign w:val="center"/>
          </w:tcPr>
          <w:p w:rsidR="00EF7D80" w:rsidRPr="00480784" w:rsidRDefault="00EF7D80" w:rsidP="00C01C6C">
            <w:pPr>
              <w:spacing w:beforeLines="30" w:afterLines="30"/>
              <w:rPr>
                <w:rFonts w:ascii="Rockwell" w:hAnsi="Rockwell" w:cstheme="minorHAnsi"/>
                <w:sz w:val="16"/>
                <w:szCs w:val="16"/>
              </w:rPr>
            </w:pPr>
            <w:r w:rsidRPr="00480784">
              <w:rPr>
                <w:rFonts w:ascii="Rockwell" w:hAnsi="Rockwell" w:cstheme="minorHAnsi"/>
                <w:sz w:val="16"/>
                <w:szCs w:val="16"/>
              </w:rPr>
              <w:t>Research the following areas:</w:t>
            </w:r>
          </w:p>
          <w:p w:rsidR="00EF7D80" w:rsidRPr="00480784" w:rsidRDefault="00EF7D80" w:rsidP="00C01C6C">
            <w:pPr>
              <w:pStyle w:val="ListParagraph"/>
              <w:numPr>
                <w:ilvl w:val="0"/>
                <w:numId w:val="1"/>
              </w:numPr>
              <w:spacing w:beforeLines="30" w:afterLines="30"/>
              <w:ind w:left="175" w:hanging="175"/>
              <w:rPr>
                <w:rFonts w:ascii="Rockwell" w:eastAsia="Times New Roman" w:hAnsi="Rockwell" w:cstheme="minorHAnsi"/>
                <w:sz w:val="16"/>
                <w:szCs w:val="16"/>
                <w:lang w:eastAsia="en-GB"/>
              </w:rPr>
            </w:pPr>
            <w:r w:rsidRPr="00480784">
              <w:rPr>
                <w:rFonts w:ascii="Rockwell" w:eastAsia="Times New Roman" w:hAnsi="Rockwell" w:cstheme="minorHAnsi"/>
                <w:sz w:val="16"/>
                <w:szCs w:val="16"/>
                <w:lang w:eastAsia="en-GB"/>
              </w:rPr>
              <w:t>Key issues facing disabled CYP</w:t>
            </w:r>
          </w:p>
          <w:p w:rsidR="00EF7D80" w:rsidRPr="00480784" w:rsidRDefault="00EF7D80" w:rsidP="00C01C6C">
            <w:pPr>
              <w:pStyle w:val="ListParagraph"/>
              <w:numPr>
                <w:ilvl w:val="0"/>
                <w:numId w:val="1"/>
              </w:numPr>
              <w:spacing w:beforeLines="30" w:afterLines="30"/>
              <w:ind w:left="175" w:hanging="175"/>
              <w:rPr>
                <w:rFonts w:ascii="Rockwell" w:eastAsia="Times New Roman" w:hAnsi="Rockwell" w:cstheme="minorHAnsi"/>
                <w:sz w:val="16"/>
                <w:szCs w:val="16"/>
                <w:lang w:eastAsia="en-GB"/>
              </w:rPr>
            </w:pPr>
            <w:r w:rsidRPr="00480784">
              <w:rPr>
                <w:rFonts w:ascii="Rockwell" w:eastAsia="Times New Roman" w:hAnsi="Rockwell" w:cstheme="minorHAnsi"/>
                <w:sz w:val="16"/>
                <w:szCs w:val="16"/>
                <w:lang w:eastAsia="en-GB"/>
              </w:rPr>
              <w:t xml:space="preserve">Numbers of CYP with Autism </w:t>
            </w:r>
          </w:p>
          <w:p w:rsidR="00EF7D80" w:rsidRPr="00480784" w:rsidRDefault="00EF7D80" w:rsidP="00C01C6C">
            <w:pPr>
              <w:pStyle w:val="ListParagraph"/>
              <w:numPr>
                <w:ilvl w:val="0"/>
                <w:numId w:val="1"/>
              </w:numPr>
              <w:spacing w:beforeLines="30" w:afterLines="30"/>
              <w:ind w:left="175" w:hanging="175"/>
              <w:rPr>
                <w:rFonts w:ascii="Rockwell" w:eastAsia="Times New Roman" w:hAnsi="Rockwell" w:cstheme="minorHAnsi"/>
                <w:sz w:val="16"/>
                <w:szCs w:val="16"/>
                <w:lang w:eastAsia="en-GB"/>
              </w:rPr>
            </w:pPr>
            <w:r w:rsidRPr="00480784">
              <w:rPr>
                <w:rFonts w:ascii="Rockwell" w:eastAsia="Times New Roman" w:hAnsi="Rockwell" w:cstheme="minorHAnsi"/>
                <w:sz w:val="16"/>
                <w:szCs w:val="16"/>
                <w:lang w:eastAsia="en-GB"/>
              </w:rPr>
              <w:t>The impact of welfare reform on families with a disabled child</w:t>
            </w:r>
          </w:p>
          <w:p w:rsidR="00EF7D80" w:rsidRPr="00480784" w:rsidRDefault="00EF7D80" w:rsidP="00C01C6C">
            <w:pPr>
              <w:pStyle w:val="ListParagraph"/>
              <w:numPr>
                <w:ilvl w:val="0"/>
                <w:numId w:val="1"/>
              </w:numPr>
              <w:spacing w:beforeLines="30" w:afterLines="30"/>
              <w:ind w:left="175" w:hanging="175"/>
              <w:rPr>
                <w:rFonts w:ascii="Rockwell" w:eastAsia="Times New Roman" w:hAnsi="Rockwell" w:cstheme="minorHAnsi"/>
                <w:sz w:val="16"/>
                <w:szCs w:val="16"/>
                <w:lang w:eastAsia="en-GB"/>
              </w:rPr>
            </w:pPr>
            <w:r w:rsidRPr="00480784">
              <w:rPr>
                <w:rFonts w:ascii="Rockwell" w:eastAsia="Times New Roman" w:hAnsi="Rockwell" w:cstheme="minorHAnsi"/>
                <w:sz w:val="16"/>
                <w:szCs w:val="16"/>
                <w:lang w:eastAsia="en-GB"/>
              </w:rPr>
              <w:t>Long-term impacts of social expectations of disabled CYP</w:t>
            </w:r>
          </w:p>
          <w:p w:rsidR="00EF7D80" w:rsidRPr="00480784" w:rsidRDefault="00EF7D80" w:rsidP="00C01C6C">
            <w:pPr>
              <w:pStyle w:val="ListParagraph"/>
              <w:numPr>
                <w:ilvl w:val="0"/>
                <w:numId w:val="1"/>
              </w:numPr>
              <w:spacing w:beforeLines="30" w:afterLines="30"/>
              <w:ind w:left="175" w:hanging="175"/>
              <w:rPr>
                <w:rFonts w:ascii="Rockwell" w:eastAsia="Times New Roman" w:hAnsi="Rockwell" w:cstheme="minorHAnsi"/>
                <w:sz w:val="16"/>
                <w:szCs w:val="16"/>
                <w:lang w:eastAsia="en-GB"/>
              </w:rPr>
            </w:pPr>
            <w:r w:rsidRPr="00480784">
              <w:rPr>
                <w:rFonts w:ascii="Rockwell" w:eastAsia="Times New Roman" w:hAnsi="Rockwell" w:cstheme="minorHAnsi"/>
                <w:sz w:val="16"/>
                <w:szCs w:val="16"/>
                <w:lang w:eastAsia="en-GB"/>
              </w:rPr>
              <w:t>Growing levels of unmet meet and the current levels and types of demand and budgets</w:t>
            </w:r>
          </w:p>
          <w:p w:rsidR="00EF7D80" w:rsidRPr="00480784" w:rsidRDefault="00EF7D80" w:rsidP="00C01C6C">
            <w:pPr>
              <w:pStyle w:val="ListParagraph"/>
              <w:numPr>
                <w:ilvl w:val="0"/>
                <w:numId w:val="1"/>
              </w:numPr>
              <w:spacing w:beforeLines="30" w:afterLines="30"/>
              <w:ind w:left="175" w:hanging="175"/>
              <w:rPr>
                <w:rFonts w:ascii="Rockwell" w:eastAsia="Times New Roman" w:hAnsi="Rockwell" w:cstheme="minorHAnsi"/>
                <w:sz w:val="16"/>
                <w:szCs w:val="16"/>
                <w:lang w:eastAsia="en-GB"/>
              </w:rPr>
            </w:pPr>
            <w:r w:rsidRPr="00480784">
              <w:rPr>
                <w:rFonts w:ascii="Rockwell" w:hAnsi="Rockwell" w:cstheme="minorHAnsi"/>
                <w:sz w:val="16"/>
                <w:szCs w:val="16"/>
              </w:rPr>
              <w:t>What can be influenced in terms of local authority &amp; government priorities</w:t>
            </w:r>
          </w:p>
        </w:tc>
        <w:tc>
          <w:tcPr>
            <w:tcW w:w="3402" w:type="dxa"/>
            <w:tcBorders>
              <w:top w:val="single" w:sz="12" w:space="0" w:color="002060"/>
              <w:bottom w:val="single" w:sz="12" w:space="0" w:color="002060"/>
            </w:tcBorders>
          </w:tcPr>
          <w:p w:rsidR="00EF7D80" w:rsidRPr="00480784" w:rsidRDefault="00EF7D80" w:rsidP="00C01C6C">
            <w:pPr>
              <w:spacing w:beforeLines="30" w:afterLines="30"/>
              <w:rPr>
                <w:rFonts w:ascii="Rockwell" w:hAnsi="Rockwell" w:cstheme="minorHAnsi"/>
                <w:sz w:val="16"/>
                <w:szCs w:val="16"/>
              </w:rPr>
            </w:pPr>
          </w:p>
        </w:tc>
        <w:tc>
          <w:tcPr>
            <w:tcW w:w="4395" w:type="dxa"/>
            <w:tcBorders>
              <w:top w:val="single" w:sz="12" w:space="0" w:color="002060"/>
              <w:bottom w:val="single" w:sz="12" w:space="0" w:color="002060"/>
            </w:tcBorders>
            <w:vAlign w:val="center"/>
          </w:tcPr>
          <w:p w:rsidR="00EF7D80" w:rsidRPr="00480784" w:rsidRDefault="00EF7D80" w:rsidP="00C01C6C">
            <w:pPr>
              <w:spacing w:beforeLines="30" w:afterLines="30"/>
              <w:rPr>
                <w:rFonts w:ascii="Rockwell" w:hAnsi="Rockwell" w:cstheme="minorHAnsi"/>
                <w:sz w:val="16"/>
                <w:szCs w:val="16"/>
              </w:rPr>
            </w:pPr>
          </w:p>
        </w:tc>
      </w:tr>
      <w:tr w:rsidR="007D559C" w:rsidRPr="00480784" w:rsidTr="007D559C">
        <w:trPr>
          <w:trHeight w:val="407"/>
        </w:trPr>
        <w:tc>
          <w:tcPr>
            <w:tcW w:w="16444" w:type="dxa"/>
            <w:gridSpan w:val="5"/>
            <w:tcBorders>
              <w:top w:val="single" w:sz="12" w:space="0" w:color="002060"/>
            </w:tcBorders>
            <w:shd w:val="clear" w:color="auto" w:fill="F3FAFF"/>
          </w:tcPr>
          <w:p w:rsidR="007D559C" w:rsidRPr="00480784" w:rsidRDefault="007D559C" w:rsidP="00C01C6C">
            <w:pPr>
              <w:spacing w:beforeLines="30" w:afterLines="30"/>
              <w:jc w:val="center"/>
              <w:rPr>
                <w:rFonts w:ascii="Rockwell" w:eastAsia="Times New Roman" w:hAnsi="Rockwell" w:cstheme="minorHAnsi"/>
                <w:b/>
                <w:i/>
                <w:sz w:val="18"/>
                <w:szCs w:val="18"/>
                <w:lang w:eastAsia="en-GB"/>
              </w:rPr>
            </w:pPr>
            <w:r w:rsidRPr="00480784">
              <w:rPr>
                <w:rFonts w:ascii="Rockwell" w:eastAsia="Times New Roman" w:hAnsi="Rockwell" w:cstheme="minorHAnsi"/>
                <w:b/>
                <w:i/>
                <w:sz w:val="18"/>
                <w:szCs w:val="18"/>
                <w:lang w:eastAsia="en-GB"/>
              </w:rPr>
              <w:t>Theme: Education</w:t>
            </w:r>
          </w:p>
        </w:tc>
      </w:tr>
      <w:tr w:rsidR="006B4143" w:rsidRPr="00480784" w:rsidTr="006B4143">
        <w:trPr>
          <w:trHeight w:val="802"/>
        </w:trPr>
        <w:tc>
          <w:tcPr>
            <w:tcW w:w="994" w:type="dxa"/>
            <w:tcBorders>
              <w:top w:val="single" w:sz="12" w:space="0" w:color="002060"/>
            </w:tcBorders>
            <w:vAlign w:val="center"/>
          </w:tcPr>
          <w:p w:rsidR="00EF7D80" w:rsidRPr="00480784" w:rsidRDefault="00EF7D80" w:rsidP="00C01C6C">
            <w:pPr>
              <w:spacing w:beforeLines="30" w:afterLines="30"/>
              <w:jc w:val="center"/>
              <w:rPr>
                <w:rFonts w:ascii="Rockwell" w:eastAsia="Times New Roman" w:hAnsi="Rockwell" w:cstheme="minorHAnsi"/>
                <w:i/>
                <w:sz w:val="16"/>
                <w:szCs w:val="16"/>
                <w:lang w:eastAsia="en-GB"/>
              </w:rPr>
            </w:pPr>
            <w:r w:rsidRPr="00480784">
              <w:rPr>
                <w:rFonts w:ascii="Rockwell" w:eastAsia="Times New Roman" w:hAnsi="Rockwell" w:cstheme="minorHAnsi"/>
                <w:i/>
                <w:sz w:val="16"/>
                <w:szCs w:val="16"/>
                <w:lang w:eastAsia="en-GB"/>
              </w:rPr>
              <w:t>GIRFEC</w:t>
            </w:r>
          </w:p>
        </w:tc>
        <w:tc>
          <w:tcPr>
            <w:tcW w:w="4110" w:type="dxa"/>
            <w:tcBorders>
              <w:top w:val="single" w:sz="12" w:space="0" w:color="002060"/>
            </w:tcBorders>
            <w:vAlign w:val="center"/>
          </w:tcPr>
          <w:p w:rsidR="007D559C" w:rsidRPr="00480784" w:rsidRDefault="007D559C" w:rsidP="00C01C6C">
            <w:pPr>
              <w:pStyle w:val="ListParagraph"/>
              <w:numPr>
                <w:ilvl w:val="0"/>
                <w:numId w:val="21"/>
              </w:numPr>
              <w:spacing w:beforeLines="30" w:afterLines="30"/>
              <w:ind w:left="174" w:hanging="141"/>
              <w:rPr>
                <w:rFonts w:ascii="Rockwell" w:hAnsi="Rockwell" w:cstheme="minorHAnsi"/>
                <w:sz w:val="16"/>
                <w:szCs w:val="16"/>
              </w:rPr>
            </w:pPr>
            <w:r>
              <w:rPr>
                <w:rFonts w:ascii="Rockwell" w:hAnsi="Rockwell" w:cstheme="minorHAnsi"/>
                <w:sz w:val="16"/>
                <w:szCs w:val="16"/>
              </w:rPr>
              <w:t>E</w:t>
            </w:r>
            <w:r w:rsidRPr="00480784">
              <w:rPr>
                <w:rFonts w:ascii="Rockwell" w:hAnsi="Rockwell" w:cstheme="minorHAnsi"/>
                <w:sz w:val="16"/>
                <w:szCs w:val="16"/>
              </w:rPr>
              <w:t>nsure that GIRFEC takes a holistic view of disabled children.</w:t>
            </w:r>
          </w:p>
          <w:p w:rsidR="007D559C" w:rsidRPr="00480784" w:rsidRDefault="007D559C" w:rsidP="00C01C6C">
            <w:pPr>
              <w:pStyle w:val="ListParagraph"/>
              <w:numPr>
                <w:ilvl w:val="0"/>
                <w:numId w:val="21"/>
              </w:numPr>
              <w:spacing w:beforeLines="30" w:afterLines="30"/>
              <w:ind w:left="174" w:hanging="141"/>
              <w:rPr>
                <w:rFonts w:ascii="Rockwell" w:hAnsi="Rockwell" w:cstheme="minorHAnsi"/>
                <w:sz w:val="16"/>
                <w:szCs w:val="16"/>
              </w:rPr>
            </w:pPr>
            <w:r w:rsidRPr="00480784">
              <w:rPr>
                <w:rFonts w:ascii="Rockwell" w:hAnsi="Rockwell" w:cstheme="minorHAnsi"/>
                <w:sz w:val="16"/>
                <w:szCs w:val="16"/>
              </w:rPr>
              <w:t xml:space="preserve">Research the extent to which disabled children are being included within GIRFEC and what difference this is making in terms of social inclusion. </w:t>
            </w:r>
          </w:p>
          <w:p w:rsidR="00EF7D80" w:rsidRPr="00480784" w:rsidRDefault="007D559C" w:rsidP="00C01C6C">
            <w:pPr>
              <w:pStyle w:val="ListParagraph"/>
              <w:numPr>
                <w:ilvl w:val="0"/>
                <w:numId w:val="21"/>
              </w:numPr>
              <w:spacing w:beforeLines="30" w:afterLines="30"/>
              <w:ind w:left="174" w:hanging="141"/>
              <w:rPr>
                <w:rFonts w:ascii="Rockwell" w:hAnsi="Rockwell" w:cstheme="minorHAnsi"/>
                <w:sz w:val="16"/>
                <w:szCs w:val="16"/>
              </w:rPr>
            </w:pPr>
            <w:r>
              <w:rPr>
                <w:rFonts w:ascii="Rockwell" w:hAnsi="Rockwell" w:cstheme="minorHAnsi"/>
                <w:sz w:val="16"/>
                <w:szCs w:val="16"/>
              </w:rPr>
              <w:t>E</w:t>
            </w:r>
            <w:r w:rsidRPr="00480784">
              <w:rPr>
                <w:rFonts w:ascii="Rockwell" w:hAnsi="Rockwell" w:cstheme="minorHAnsi"/>
                <w:sz w:val="16"/>
                <w:szCs w:val="16"/>
              </w:rPr>
              <w:t>nsure that GIRFEC principles and practice are applied to disabled children as to any others.</w:t>
            </w:r>
          </w:p>
        </w:tc>
        <w:tc>
          <w:tcPr>
            <w:tcW w:w="3543" w:type="dxa"/>
            <w:tcBorders>
              <w:top w:val="single" w:sz="12" w:space="0" w:color="002060"/>
            </w:tcBorders>
            <w:vAlign w:val="center"/>
          </w:tcPr>
          <w:p w:rsidR="00EF7D80" w:rsidRPr="007D559C" w:rsidRDefault="00EF7D80" w:rsidP="00C01C6C">
            <w:pPr>
              <w:pStyle w:val="ListParagraph"/>
              <w:numPr>
                <w:ilvl w:val="0"/>
                <w:numId w:val="21"/>
              </w:numPr>
              <w:spacing w:beforeLines="30" w:afterLines="30"/>
              <w:ind w:left="174" w:hanging="174"/>
              <w:rPr>
                <w:rFonts w:ascii="Rockwell" w:hAnsi="Rockwell" w:cstheme="minorHAnsi"/>
                <w:sz w:val="16"/>
                <w:szCs w:val="16"/>
              </w:rPr>
            </w:pPr>
            <w:r w:rsidRPr="007D559C">
              <w:rPr>
                <w:rFonts w:ascii="Rockwell" w:hAnsi="Rockwell" w:cstheme="minorHAnsi"/>
                <w:sz w:val="16"/>
                <w:szCs w:val="16"/>
              </w:rPr>
              <w:t>Ensure GIRFEC is properly monitored and implemented consistently across Scotland and teachers are fully aware of its implications.</w:t>
            </w:r>
          </w:p>
        </w:tc>
        <w:tc>
          <w:tcPr>
            <w:tcW w:w="3402" w:type="dxa"/>
            <w:tcBorders>
              <w:top w:val="single" w:sz="12" w:space="0" w:color="002060"/>
            </w:tcBorders>
          </w:tcPr>
          <w:p w:rsidR="00EF7D80" w:rsidRPr="00480784" w:rsidRDefault="00EF7D80" w:rsidP="00C01C6C">
            <w:pPr>
              <w:spacing w:beforeLines="30" w:afterLines="30"/>
              <w:rPr>
                <w:rFonts w:ascii="Rockwell" w:eastAsia="Times New Roman" w:hAnsi="Rockwell" w:cstheme="minorHAnsi"/>
                <w:sz w:val="16"/>
                <w:szCs w:val="16"/>
                <w:lang w:eastAsia="en-GB"/>
              </w:rPr>
            </w:pPr>
          </w:p>
        </w:tc>
        <w:tc>
          <w:tcPr>
            <w:tcW w:w="4395" w:type="dxa"/>
            <w:tcBorders>
              <w:top w:val="single" w:sz="12" w:space="0" w:color="002060"/>
            </w:tcBorders>
            <w:vAlign w:val="center"/>
          </w:tcPr>
          <w:p w:rsidR="00EF7D80" w:rsidRPr="00480784" w:rsidRDefault="00EF7D80" w:rsidP="00C01C6C">
            <w:pPr>
              <w:spacing w:beforeLines="30" w:afterLines="30"/>
              <w:rPr>
                <w:rFonts w:ascii="Rockwell" w:eastAsia="Times New Roman" w:hAnsi="Rockwell" w:cstheme="minorHAnsi"/>
                <w:sz w:val="16"/>
                <w:szCs w:val="16"/>
                <w:lang w:eastAsia="en-GB"/>
              </w:rPr>
            </w:pPr>
          </w:p>
        </w:tc>
      </w:tr>
      <w:tr w:rsidR="006B4143" w:rsidRPr="00480784" w:rsidTr="006B4143">
        <w:trPr>
          <w:trHeight w:val="449"/>
        </w:trPr>
        <w:tc>
          <w:tcPr>
            <w:tcW w:w="994" w:type="dxa"/>
            <w:vAlign w:val="center"/>
          </w:tcPr>
          <w:p w:rsidR="00EF7D80" w:rsidRPr="00480784" w:rsidRDefault="00EF7D80" w:rsidP="00C01C6C">
            <w:pPr>
              <w:spacing w:beforeLines="30" w:afterLines="30"/>
              <w:jc w:val="center"/>
              <w:rPr>
                <w:rFonts w:ascii="Rockwell" w:eastAsia="Times New Roman" w:hAnsi="Rockwell" w:cstheme="minorHAnsi"/>
                <w:i/>
                <w:sz w:val="16"/>
                <w:szCs w:val="16"/>
                <w:lang w:eastAsia="en-GB"/>
              </w:rPr>
            </w:pPr>
            <w:r w:rsidRPr="00480784">
              <w:rPr>
                <w:rFonts w:ascii="Rockwell" w:eastAsia="Times New Roman" w:hAnsi="Rockwell" w:cstheme="minorHAnsi"/>
                <w:i/>
                <w:sz w:val="16"/>
                <w:szCs w:val="16"/>
                <w:lang w:eastAsia="en-GB"/>
              </w:rPr>
              <w:t>Early Years</w:t>
            </w:r>
          </w:p>
        </w:tc>
        <w:tc>
          <w:tcPr>
            <w:tcW w:w="4110" w:type="dxa"/>
            <w:vAlign w:val="center"/>
          </w:tcPr>
          <w:p w:rsidR="00EF7D80" w:rsidRPr="00480784" w:rsidRDefault="00EF7D80" w:rsidP="00C01C6C">
            <w:pPr>
              <w:pStyle w:val="ListParagraph"/>
              <w:spacing w:beforeLines="30" w:afterLines="30"/>
              <w:ind w:left="317"/>
              <w:rPr>
                <w:rFonts w:ascii="Rockwell" w:hAnsi="Rockwell" w:cstheme="minorHAnsi"/>
                <w:sz w:val="16"/>
                <w:szCs w:val="16"/>
              </w:rPr>
            </w:pPr>
          </w:p>
        </w:tc>
        <w:tc>
          <w:tcPr>
            <w:tcW w:w="3543" w:type="dxa"/>
            <w:vAlign w:val="center"/>
          </w:tcPr>
          <w:p w:rsidR="00EF7D80" w:rsidRPr="007D559C" w:rsidRDefault="00EF7D80" w:rsidP="00C01C6C">
            <w:pPr>
              <w:pStyle w:val="ListParagraph"/>
              <w:numPr>
                <w:ilvl w:val="0"/>
                <w:numId w:val="21"/>
              </w:numPr>
              <w:spacing w:beforeLines="30" w:afterLines="30"/>
              <w:ind w:left="174" w:hanging="174"/>
              <w:rPr>
                <w:rFonts w:ascii="Rockwell" w:hAnsi="Rockwell" w:cstheme="minorHAnsi"/>
                <w:sz w:val="16"/>
                <w:szCs w:val="16"/>
              </w:rPr>
            </w:pPr>
            <w:r w:rsidRPr="00480784">
              <w:rPr>
                <w:rFonts w:ascii="Rockwell" w:hAnsi="Rockwell" w:cstheme="minorHAnsi"/>
                <w:sz w:val="16"/>
                <w:szCs w:val="16"/>
              </w:rPr>
              <w:t>Concentrate a work stream of the Early Years Collaborative on families affected by disability</w:t>
            </w:r>
            <w:r w:rsidR="007D559C">
              <w:rPr>
                <w:rFonts w:ascii="Rockwell" w:hAnsi="Rockwell" w:cstheme="minorHAnsi"/>
                <w:sz w:val="16"/>
                <w:szCs w:val="16"/>
              </w:rPr>
              <w:t>.</w:t>
            </w:r>
          </w:p>
        </w:tc>
        <w:tc>
          <w:tcPr>
            <w:tcW w:w="3402" w:type="dxa"/>
          </w:tcPr>
          <w:p w:rsidR="00EF7D80" w:rsidRPr="00480784" w:rsidRDefault="00EF7D80" w:rsidP="00C01C6C">
            <w:pPr>
              <w:spacing w:beforeLines="30" w:afterLines="30"/>
              <w:rPr>
                <w:rFonts w:ascii="Rockwell" w:eastAsia="Times New Roman" w:hAnsi="Rockwell" w:cstheme="minorHAnsi"/>
                <w:sz w:val="16"/>
                <w:szCs w:val="16"/>
                <w:lang w:eastAsia="en-GB"/>
              </w:rPr>
            </w:pPr>
          </w:p>
        </w:tc>
        <w:tc>
          <w:tcPr>
            <w:tcW w:w="4395" w:type="dxa"/>
            <w:vAlign w:val="center"/>
          </w:tcPr>
          <w:p w:rsidR="00EF7D80" w:rsidRPr="00480784" w:rsidRDefault="00EF7D80" w:rsidP="00C01C6C">
            <w:pPr>
              <w:spacing w:beforeLines="30" w:afterLines="30"/>
              <w:rPr>
                <w:rFonts w:ascii="Rockwell" w:eastAsia="Times New Roman" w:hAnsi="Rockwell" w:cstheme="minorHAnsi"/>
                <w:sz w:val="16"/>
                <w:szCs w:val="16"/>
                <w:lang w:eastAsia="en-GB"/>
              </w:rPr>
            </w:pPr>
          </w:p>
        </w:tc>
      </w:tr>
      <w:tr w:rsidR="006B4143" w:rsidRPr="00480784" w:rsidTr="006B4143">
        <w:trPr>
          <w:trHeight w:val="566"/>
        </w:trPr>
        <w:tc>
          <w:tcPr>
            <w:tcW w:w="994" w:type="dxa"/>
            <w:vAlign w:val="center"/>
          </w:tcPr>
          <w:p w:rsidR="00EF7D80" w:rsidRPr="00480784" w:rsidRDefault="00EF7D80" w:rsidP="00C01C6C">
            <w:pPr>
              <w:spacing w:beforeLines="30" w:afterLines="30"/>
              <w:jc w:val="center"/>
              <w:rPr>
                <w:rFonts w:ascii="Rockwell" w:eastAsia="Times New Roman" w:hAnsi="Rockwell" w:cstheme="minorHAnsi"/>
                <w:i/>
                <w:sz w:val="16"/>
                <w:szCs w:val="16"/>
                <w:lang w:eastAsia="en-GB"/>
              </w:rPr>
            </w:pPr>
            <w:r w:rsidRPr="00480784">
              <w:rPr>
                <w:rFonts w:ascii="Rockwell" w:eastAsia="Times New Roman" w:hAnsi="Rockwell" w:cstheme="minorHAnsi"/>
                <w:i/>
                <w:sz w:val="16"/>
                <w:szCs w:val="16"/>
                <w:lang w:eastAsia="en-GB"/>
              </w:rPr>
              <w:t>Workforce and Training</w:t>
            </w:r>
          </w:p>
        </w:tc>
        <w:tc>
          <w:tcPr>
            <w:tcW w:w="4110" w:type="dxa"/>
            <w:vAlign w:val="center"/>
          </w:tcPr>
          <w:p w:rsidR="00EF7D80" w:rsidRPr="00480784" w:rsidRDefault="00EF7D80" w:rsidP="00C01C6C">
            <w:pPr>
              <w:pStyle w:val="ListParagraph"/>
              <w:numPr>
                <w:ilvl w:val="0"/>
                <w:numId w:val="21"/>
              </w:numPr>
              <w:spacing w:beforeLines="30" w:afterLines="30"/>
              <w:ind w:left="174" w:hanging="174"/>
              <w:rPr>
                <w:rFonts w:ascii="Rockwell" w:hAnsi="Rockwell" w:cstheme="minorHAnsi"/>
                <w:sz w:val="16"/>
                <w:szCs w:val="16"/>
              </w:rPr>
            </w:pPr>
            <w:r w:rsidRPr="00480784">
              <w:rPr>
                <w:rFonts w:ascii="Rockwell" w:hAnsi="Rockwell" w:cstheme="minorHAnsi"/>
                <w:sz w:val="16"/>
                <w:szCs w:val="16"/>
              </w:rPr>
              <w:t>Discuss with LAs the need to support teacher professional development through accredited and research based courses.</w:t>
            </w:r>
          </w:p>
          <w:p w:rsidR="00EF7D80" w:rsidRPr="00480784" w:rsidRDefault="00EF7D80" w:rsidP="00C01C6C">
            <w:pPr>
              <w:pStyle w:val="ListParagraph"/>
              <w:numPr>
                <w:ilvl w:val="0"/>
                <w:numId w:val="21"/>
              </w:numPr>
              <w:spacing w:beforeLines="30" w:afterLines="30"/>
              <w:ind w:left="174" w:hanging="174"/>
              <w:rPr>
                <w:rFonts w:ascii="Rockwell" w:hAnsi="Rockwell" w:cstheme="minorHAnsi"/>
                <w:sz w:val="16"/>
                <w:szCs w:val="16"/>
              </w:rPr>
            </w:pPr>
            <w:r w:rsidRPr="00480784">
              <w:rPr>
                <w:rFonts w:ascii="Rockwell" w:hAnsi="Rockwell" w:cstheme="minorHAnsi"/>
                <w:sz w:val="16"/>
                <w:szCs w:val="16"/>
              </w:rPr>
              <w:t>Analyse the inclusion of disability equality teaching in schools.</w:t>
            </w:r>
          </w:p>
          <w:p w:rsidR="00EF7D80" w:rsidRPr="00480784" w:rsidRDefault="00EF7D80" w:rsidP="00C01C6C">
            <w:pPr>
              <w:pStyle w:val="ListParagraph"/>
              <w:numPr>
                <w:ilvl w:val="0"/>
                <w:numId w:val="21"/>
              </w:numPr>
              <w:spacing w:beforeLines="30" w:afterLines="30"/>
              <w:ind w:left="174" w:hanging="174"/>
              <w:rPr>
                <w:rFonts w:ascii="Rockwell" w:hAnsi="Rockwell" w:cstheme="minorHAnsi"/>
                <w:sz w:val="16"/>
                <w:szCs w:val="16"/>
              </w:rPr>
            </w:pPr>
            <w:r w:rsidRPr="00480784">
              <w:rPr>
                <w:rFonts w:ascii="Rockwell" w:hAnsi="Rockwell" w:cstheme="minorHAnsi"/>
                <w:sz w:val="16"/>
                <w:szCs w:val="16"/>
              </w:rPr>
              <w:t>Promote the value of multi-disciplinary training in disability equality and communicating with disabled children.</w:t>
            </w:r>
          </w:p>
          <w:p w:rsidR="00EF7D80" w:rsidRPr="00480784" w:rsidRDefault="00EF7D80" w:rsidP="00C01C6C">
            <w:pPr>
              <w:pStyle w:val="ListParagraph"/>
              <w:numPr>
                <w:ilvl w:val="0"/>
                <w:numId w:val="21"/>
              </w:numPr>
              <w:spacing w:beforeLines="30" w:afterLines="30"/>
              <w:ind w:left="174" w:hanging="174"/>
              <w:rPr>
                <w:rFonts w:ascii="Rockwell" w:hAnsi="Rockwell" w:cstheme="minorHAnsi"/>
                <w:sz w:val="16"/>
                <w:szCs w:val="16"/>
              </w:rPr>
            </w:pPr>
            <w:r w:rsidRPr="00480784">
              <w:rPr>
                <w:rFonts w:ascii="Rockwell" w:hAnsi="Rockwell" w:cstheme="minorHAnsi"/>
                <w:sz w:val="16"/>
                <w:szCs w:val="16"/>
              </w:rPr>
              <w:t xml:space="preserve">Ensure that public bodies are providing training </w:t>
            </w:r>
            <w:r w:rsidRPr="00480784">
              <w:rPr>
                <w:rFonts w:ascii="Rockwell" w:hAnsi="Rockwell" w:cstheme="minorHAnsi"/>
                <w:sz w:val="16"/>
                <w:szCs w:val="16"/>
              </w:rPr>
              <w:lastRenderedPageBreak/>
              <w:t xml:space="preserve">for staff working with disabled CYP and their families across all services and at all levels. </w:t>
            </w:r>
          </w:p>
          <w:p w:rsidR="00EF7D80" w:rsidRPr="00480784" w:rsidRDefault="00EF7D80" w:rsidP="00C01C6C">
            <w:pPr>
              <w:pStyle w:val="ListParagraph"/>
              <w:numPr>
                <w:ilvl w:val="0"/>
                <w:numId w:val="21"/>
              </w:numPr>
              <w:spacing w:beforeLines="30" w:afterLines="30"/>
              <w:ind w:left="174" w:hanging="174"/>
              <w:rPr>
                <w:rFonts w:ascii="Rockwell" w:hAnsi="Rockwell" w:cstheme="minorHAnsi"/>
                <w:sz w:val="16"/>
                <w:szCs w:val="16"/>
              </w:rPr>
            </w:pPr>
            <w:r w:rsidRPr="00480784">
              <w:rPr>
                <w:rFonts w:ascii="Rockwell" w:hAnsi="Rockwell" w:cstheme="minorHAnsi"/>
                <w:sz w:val="16"/>
                <w:szCs w:val="16"/>
              </w:rPr>
              <w:t>Ensure that professions allied to medicine are readily available to those disabled children and young people who would benefit from their services on an on-going basis.</w:t>
            </w:r>
          </w:p>
          <w:p w:rsidR="00EF7D80" w:rsidRDefault="00EF7D80" w:rsidP="00C01C6C">
            <w:pPr>
              <w:pStyle w:val="ListParagraph"/>
              <w:numPr>
                <w:ilvl w:val="0"/>
                <w:numId w:val="21"/>
              </w:numPr>
              <w:spacing w:beforeLines="30" w:afterLines="30"/>
              <w:ind w:left="174" w:hanging="174"/>
              <w:rPr>
                <w:rFonts w:ascii="Rockwell" w:hAnsi="Rockwell" w:cstheme="minorHAnsi"/>
                <w:sz w:val="16"/>
                <w:szCs w:val="16"/>
              </w:rPr>
            </w:pPr>
            <w:r>
              <w:rPr>
                <w:rFonts w:ascii="Rockwell" w:hAnsi="Rockwell" w:cstheme="minorHAnsi"/>
                <w:sz w:val="16"/>
                <w:szCs w:val="16"/>
              </w:rPr>
              <w:t>Ensure that staff-to-young-</w:t>
            </w:r>
            <w:r w:rsidRPr="00480784">
              <w:rPr>
                <w:rFonts w:ascii="Rockwell" w:hAnsi="Rockwell" w:cstheme="minorHAnsi"/>
                <w:sz w:val="16"/>
                <w:szCs w:val="16"/>
              </w:rPr>
              <w:t>person ratios are safe and effective.</w:t>
            </w:r>
          </w:p>
          <w:p w:rsidR="007D559C" w:rsidRPr="00480784" w:rsidRDefault="007D559C" w:rsidP="00C01C6C">
            <w:pPr>
              <w:pStyle w:val="ListParagraph"/>
              <w:numPr>
                <w:ilvl w:val="0"/>
                <w:numId w:val="21"/>
              </w:numPr>
              <w:spacing w:beforeLines="30" w:afterLines="30"/>
              <w:ind w:left="174" w:hanging="174"/>
              <w:rPr>
                <w:rFonts w:ascii="Rockwell" w:hAnsi="Rockwell" w:cstheme="minorHAnsi"/>
                <w:sz w:val="16"/>
                <w:szCs w:val="16"/>
              </w:rPr>
            </w:pPr>
            <w:r w:rsidRPr="00480784">
              <w:rPr>
                <w:rFonts w:ascii="Rockwell" w:hAnsi="Rockwell" w:cstheme="minorHAnsi"/>
                <w:sz w:val="16"/>
                <w:szCs w:val="16"/>
              </w:rPr>
              <w:t>Open channels of best- practice sharing and information exchange for families and practitioners.</w:t>
            </w:r>
          </w:p>
        </w:tc>
        <w:tc>
          <w:tcPr>
            <w:tcW w:w="3543" w:type="dxa"/>
            <w:vAlign w:val="center"/>
          </w:tcPr>
          <w:p w:rsidR="00EF7D80" w:rsidRPr="007D559C" w:rsidRDefault="00EF7D80" w:rsidP="00C01C6C">
            <w:pPr>
              <w:pStyle w:val="ListParagraph"/>
              <w:numPr>
                <w:ilvl w:val="0"/>
                <w:numId w:val="21"/>
              </w:numPr>
              <w:spacing w:beforeLines="30" w:afterLines="30"/>
              <w:ind w:left="174" w:hanging="174"/>
              <w:rPr>
                <w:rFonts w:ascii="Rockwell" w:hAnsi="Rockwell" w:cstheme="minorHAnsi"/>
                <w:sz w:val="16"/>
                <w:szCs w:val="16"/>
              </w:rPr>
            </w:pPr>
            <w:r w:rsidRPr="007D559C">
              <w:rPr>
                <w:rFonts w:ascii="Rockwell" w:hAnsi="Rockwell" w:cstheme="minorHAnsi"/>
                <w:sz w:val="16"/>
                <w:szCs w:val="16"/>
              </w:rPr>
              <w:lastRenderedPageBreak/>
              <w:t xml:space="preserve">Improve disability awareness and training (and education on transitions) for social workers, teachers, health professionals, voluntary organisations, etc. </w:t>
            </w:r>
          </w:p>
        </w:tc>
        <w:tc>
          <w:tcPr>
            <w:tcW w:w="3402" w:type="dxa"/>
          </w:tcPr>
          <w:p w:rsidR="00EF7D80" w:rsidRPr="00480784" w:rsidRDefault="00EF7D80" w:rsidP="00C01C6C">
            <w:pPr>
              <w:spacing w:beforeLines="30" w:afterLines="30"/>
              <w:rPr>
                <w:rFonts w:ascii="Rockwell" w:eastAsia="Times New Roman" w:hAnsi="Rockwell" w:cstheme="minorHAnsi"/>
                <w:sz w:val="16"/>
                <w:szCs w:val="16"/>
                <w:lang w:eastAsia="en-GB"/>
              </w:rPr>
            </w:pPr>
          </w:p>
        </w:tc>
        <w:tc>
          <w:tcPr>
            <w:tcW w:w="4395" w:type="dxa"/>
            <w:vAlign w:val="center"/>
          </w:tcPr>
          <w:p w:rsidR="00EF7D80" w:rsidRPr="00480784" w:rsidRDefault="00EF7D80" w:rsidP="00C01C6C">
            <w:pPr>
              <w:spacing w:beforeLines="30" w:afterLines="30"/>
              <w:rPr>
                <w:rFonts w:ascii="Rockwell" w:eastAsia="Times New Roman" w:hAnsi="Rockwell" w:cstheme="minorHAnsi"/>
                <w:sz w:val="16"/>
                <w:szCs w:val="16"/>
                <w:lang w:eastAsia="en-GB"/>
              </w:rPr>
            </w:pPr>
          </w:p>
        </w:tc>
      </w:tr>
      <w:tr w:rsidR="006B4143" w:rsidRPr="00480784" w:rsidTr="006B4143">
        <w:trPr>
          <w:trHeight w:val="1080"/>
        </w:trPr>
        <w:tc>
          <w:tcPr>
            <w:tcW w:w="994" w:type="dxa"/>
            <w:tcBorders>
              <w:bottom w:val="single" w:sz="12" w:space="0" w:color="002060"/>
            </w:tcBorders>
            <w:vAlign w:val="center"/>
          </w:tcPr>
          <w:p w:rsidR="00EF7D80" w:rsidRPr="00480784" w:rsidRDefault="00EF7D80" w:rsidP="00C01C6C">
            <w:pPr>
              <w:spacing w:beforeLines="30" w:afterLines="30"/>
              <w:jc w:val="center"/>
              <w:rPr>
                <w:rFonts w:ascii="Rockwell" w:eastAsia="Times New Roman" w:hAnsi="Rockwell" w:cstheme="minorHAnsi"/>
                <w:i/>
                <w:sz w:val="16"/>
                <w:szCs w:val="16"/>
                <w:lang w:eastAsia="en-GB"/>
              </w:rPr>
            </w:pPr>
            <w:r w:rsidRPr="00480784">
              <w:rPr>
                <w:rFonts w:ascii="Rockwell" w:eastAsia="Times New Roman" w:hAnsi="Rockwell" w:cstheme="minorHAnsi"/>
                <w:i/>
                <w:sz w:val="16"/>
                <w:szCs w:val="16"/>
                <w:lang w:eastAsia="en-GB"/>
              </w:rPr>
              <w:lastRenderedPageBreak/>
              <w:t>Needs of disabled CYP in school</w:t>
            </w:r>
          </w:p>
        </w:tc>
        <w:tc>
          <w:tcPr>
            <w:tcW w:w="4110" w:type="dxa"/>
            <w:tcBorders>
              <w:bottom w:val="single" w:sz="12" w:space="0" w:color="002060"/>
            </w:tcBorders>
            <w:vAlign w:val="center"/>
          </w:tcPr>
          <w:p w:rsidR="00EF7D80" w:rsidRPr="00480784" w:rsidRDefault="00EF7D80" w:rsidP="00C01C6C">
            <w:pPr>
              <w:pStyle w:val="ListParagraph"/>
              <w:numPr>
                <w:ilvl w:val="0"/>
                <w:numId w:val="21"/>
              </w:numPr>
              <w:spacing w:beforeLines="30" w:afterLines="30"/>
              <w:ind w:left="174" w:hanging="174"/>
              <w:rPr>
                <w:rFonts w:ascii="Rockwell" w:hAnsi="Rockwell" w:cstheme="minorHAnsi"/>
                <w:sz w:val="16"/>
                <w:szCs w:val="16"/>
              </w:rPr>
            </w:pPr>
            <w:r w:rsidRPr="00480784">
              <w:rPr>
                <w:rFonts w:ascii="Rockwell" w:hAnsi="Rockwell" w:cstheme="minorHAnsi"/>
                <w:sz w:val="16"/>
                <w:szCs w:val="16"/>
              </w:rPr>
              <w:t>Appropriately meet disabled children’s personal care and medical in school.</w:t>
            </w:r>
          </w:p>
          <w:p w:rsidR="00EF7D80" w:rsidRPr="00480784" w:rsidRDefault="00EF7D80" w:rsidP="00C01C6C">
            <w:pPr>
              <w:pStyle w:val="ListParagraph"/>
              <w:numPr>
                <w:ilvl w:val="0"/>
                <w:numId w:val="21"/>
              </w:numPr>
              <w:spacing w:beforeLines="30" w:afterLines="30"/>
              <w:ind w:left="174" w:hanging="174"/>
              <w:rPr>
                <w:rFonts w:ascii="Rockwell" w:hAnsi="Rockwell" w:cstheme="minorHAnsi"/>
                <w:sz w:val="16"/>
                <w:szCs w:val="16"/>
              </w:rPr>
            </w:pPr>
            <w:r w:rsidRPr="00480784">
              <w:rPr>
                <w:rFonts w:ascii="Rockwell" w:hAnsi="Rockwell" w:cstheme="minorHAnsi"/>
                <w:sz w:val="16"/>
                <w:szCs w:val="16"/>
              </w:rPr>
              <w:t xml:space="preserve">Change the structure of ITE courses towards more, not less, content in the area of Additional Special Needs and do not disadvantage those with more complex needs. </w:t>
            </w:r>
          </w:p>
        </w:tc>
        <w:tc>
          <w:tcPr>
            <w:tcW w:w="3543" w:type="dxa"/>
            <w:tcBorders>
              <w:bottom w:val="single" w:sz="12" w:space="0" w:color="002060"/>
            </w:tcBorders>
            <w:vAlign w:val="center"/>
          </w:tcPr>
          <w:p w:rsidR="00EF7D80" w:rsidRPr="00480784" w:rsidRDefault="00EF7D80" w:rsidP="00C01C6C">
            <w:pPr>
              <w:spacing w:beforeLines="30" w:afterLines="30"/>
              <w:rPr>
                <w:rFonts w:ascii="Rockwell" w:eastAsia="Times New Roman" w:hAnsi="Rockwell" w:cstheme="minorHAnsi"/>
                <w:sz w:val="16"/>
                <w:szCs w:val="16"/>
                <w:lang w:eastAsia="en-GB"/>
              </w:rPr>
            </w:pPr>
          </w:p>
        </w:tc>
        <w:tc>
          <w:tcPr>
            <w:tcW w:w="3402" w:type="dxa"/>
            <w:tcBorders>
              <w:bottom w:val="single" w:sz="12" w:space="0" w:color="002060"/>
            </w:tcBorders>
          </w:tcPr>
          <w:p w:rsidR="00EF7D80" w:rsidRPr="00480784" w:rsidRDefault="00EF7D80" w:rsidP="00C01C6C">
            <w:pPr>
              <w:spacing w:beforeLines="30" w:afterLines="30"/>
              <w:rPr>
                <w:rFonts w:ascii="Rockwell" w:eastAsia="Times New Roman" w:hAnsi="Rockwell" w:cstheme="minorHAnsi"/>
                <w:sz w:val="16"/>
                <w:szCs w:val="16"/>
                <w:lang w:eastAsia="en-GB"/>
              </w:rPr>
            </w:pPr>
          </w:p>
        </w:tc>
        <w:tc>
          <w:tcPr>
            <w:tcW w:w="4395" w:type="dxa"/>
            <w:tcBorders>
              <w:bottom w:val="single" w:sz="12" w:space="0" w:color="002060"/>
            </w:tcBorders>
            <w:vAlign w:val="center"/>
          </w:tcPr>
          <w:p w:rsidR="00EF7D80" w:rsidRPr="00480784" w:rsidRDefault="00EF7D80" w:rsidP="00C01C6C">
            <w:pPr>
              <w:spacing w:beforeLines="30" w:afterLines="30"/>
              <w:rPr>
                <w:rFonts w:ascii="Rockwell" w:eastAsia="Times New Roman" w:hAnsi="Rockwell" w:cstheme="minorHAnsi"/>
                <w:sz w:val="16"/>
                <w:szCs w:val="16"/>
                <w:lang w:eastAsia="en-GB"/>
              </w:rPr>
            </w:pPr>
          </w:p>
        </w:tc>
      </w:tr>
      <w:tr w:rsidR="00572BFE" w:rsidRPr="00480784" w:rsidTr="005C6914">
        <w:trPr>
          <w:trHeight w:val="407"/>
        </w:trPr>
        <w:tc>
          <w:tcPr>
            <w:tcW w:w="16444" w:type="dxa"/>
            <w:gridSpan w:val="5"/>
            <w:tcBorders>
              <w:top w:val="single" w:sz="12" w:space="0" w:color="002060"/>
            </w:tcBorders>
            <w:shd w:val="clear" w:color="auto" w:fill="F3FAFF"/>
          </w:tcPr>
          <w:p w:rsidR="00572BFE" w:rsidRPr="00480784" w:rsidRDefault="00572BFE" w:rsidP="00C01C6C">
            <w:pPr>
              <w:spacing w:beforeLines="30" w:afterLines="30"/>
              <w:jc w:val="center"/>
              <w:rPr>
                <w:rFonts w:ascii="Rockwell" w:eastAsia="Times New Roman" w:hAnsi="Rockwell" w:cstheme="minorHAnsi"/>
                <w:b/>
                <w:i/>
                <w:sz w:val="18"/>
                <w:szCs w:val="18"/>
                <w:lang w:eastAsia="en-GB"/>
              </w:rPr>
            </w:pPr>
            <w:r w:rsidRPr="00480784">
              <w:rPr>
                <w:rFonts w:ascii="Rockwell" w:eastAsia="Times New Roman" w:hAnsi="Rockwell" w:cstheme="minorHAnsi"/>
                <w:b/>
                <w:i/>
                <w:sz w:val="18"/>
                <w:szCs w:val="18"/>
                <w:lang w:eastAsia="en-GB"/>
              </w:rPr>
              <w:t>Theme: Miscellaneous</w:t>
            </w:r>
          </w:p>
        </w:tc>
      </w:tr>
      <w:tr w:rsidR="00EF7D80" w:rsidRPr="00480784" w:rsidTr="006B4143">
        <w:trPr>
          <w:trHeight w:val="826"/>
        </w:trPr>
        <w:tc>
          <w:tcPr>
            <w:tcW w:w="994" w:type="dxa"/>
            <w:tcBorders>
              <w:top w:val="single" w:sz="12" w:space="0" w:color="002060"/>
            </w:tcBorders>
            <w:vAlign w:val="center"/>
          </w:tcPr>
          <w:p w:rsidR="00EF7D80" w:rsidRPr="00480784" w:rsidRDefault="00EF7D80" w:rsidP="00C01C6C">
            <w:pPr>
              <w:spacing w:beforeLines="30" w:afterLines="30"/>
              <w:jc w:val="center"/>
              <w:rPr>
                <w:rFonts w:ascii="Rockwell" w:eastAsia="Times New Roman" w:hAnsi="Rockwell" w:cstheme="minorHAnsi"/>
                <w:i/>
                <w:sz w:val="16"/>
                <w:szCs w:val="16"/>
                <w:lang w:eastAsia="en-GB"/>
              </w:rPr>
            </w:pPr>
            <w:r w:rsidRPr="00480784">
              <w:rPr>
                <w:rFonts w:ascii="Rockwell" w:eastAsia="Times New Roman" w:hAnsi="Rockwell" w:cstheme="minorHAnsi"/>
                <w:i/>
                <w:sz w:val="16"/>
                <w:szCs w:val="16"/>
                <w:lang w:eastAsia="en-GB"/>
              </w:rPr>
              <w:t>Other areas</w:t>
            </w:r>
          </w:p>
        </w:tc>
        <w:tc>
          <w:tcPr>
            <w:tcW w:w="7653" w:type="dxa"/>
            <w:gridSpan w:val="2"/>
            <w:tcBorders>
              <w:top w:val="single" w:sz="12" w:space="0" w:color="002060"/>
            </w:tcBorders>
            <w:vAlign w:val="center"/>
          </w:tcPr>
          <w:p w:rsidR="00EF7D80" w:rsidRPr="00480784" w:rsidRDefault="00EF7D80" w:rsidP="00C01C6C">
            <w:pPr>
              <w:spacing w:beforeLines="30" w:afterLines="30"/>
              <w:rPr>
                <w:rFonts w:ascii="Rockwell" w:eastAsia="Times New Roman" w:hAnsi="Rockwell" w:cstheme="minorHAnsi"/>
                <w:sz w:val="16"/>
                <w:szCs w:val="16"/>
                <w:lang w:eastAsia="en-GB"/>
              </w:rPr>
            </w:pPr>
            <w:r w:rsidRPr="00480784">
              <w:rPr>
                <w:rFonts w:ascii="Rockwell" w:hAnsi="Rockwell" w:cstheme="minorHAnsi"/>
                <w:sz w:val="16"/>
                <w:szCs w:val="16"/>
              </w:rPr>
              <w:t>Are there any other significant pieces of relevant work not referred to above?</w:t>
            </w:r>
          </w:p>
        </w:tc>
        <w:tc>
          <w:tcPr>
            <w:tcW w:w="3402" w:type="dxa"/>
            <w:tcBorders>
              <w:top w:val="single" w:sz="12" w:space="0" w:color="002060"/>
            </w:tcBorders>
          </w:tcPr>
          <w:p w:rsidR="00EF7D80" w:rsidRPr="00480784" w:rsidRDefault="00EF7D80" w:rsidP="00C01C6C">
            <w:pPr>
              <w:spacing w:beforeLines="30" w:afterLines="30"/>
              <w:rPr>
                <w:rFonts w:ascii="Rockwell" w:eastAsia="Times New Roman" w:hAnsi="Rockwell" w:cstheme="minorHAnsi"/>
                <w:sz w:val="16"/>
                <w:szCs w:val="16"/>
                <w:lang w:eastAsia="en-GB"/>
              </w:rPr>
            </w:pPr>
          </w:p>
        </w:tc>
        <w:tc>
          <w:tcPr>
            <w:tcW w:w="4395" w:type="dxa"/>
            <w:tcBorders>
              <w:top w:val="single" w:sz="12" w:space="0" w:color="002060"/>
            </w:tcBorders>
            <w:vAlign w:val="center"/>
          </w:tcPr>
          <w:p w:rsidR="00EF7D80" w:rsidRPr="00480784" w:rsidRDefault="00EF7D80" w:rsidP="00C01C6C">
            <w:pPr>
              <w:spacing w:beforeLines="30" w:afterLines="30"/>
              <w:rPr>
                <w:rFonts w:ascii="Rockwell" w:eastAsia="Times New Roman" w:hAnsi="Rockwell" w:cstheme="minorHAnsi"/>
                <w:sz w:val="16"/>
                <w:szCs w:val="16"/>
                <w:lang w:eastAsia="en-GB"/>
              </w:rPr>
            </w:pPr>
          </w:p>
        </w:tc>
      </w:tr>
    </w:tbl>
    <w:p w:rsidR="00053468" w:rsidRPr="00480784" w:rsidRDefault="00053468">
      <w:pPr>
        <w:rPr>
          <w:rFonts w:ascii="Rockwell" w:hAnsi="Rockwell" w:cstheme="minorHAnsi"/>
          <w:sz w:val="16"/>
          <w:szCs w:val="16"/>
        </w:rPr>
      </w:pPr>
    </w:p>
    <w:p w:rsidR="004824C3" w:rsidRPr="00480784" w:rsidRDefault="004824C3" w:rsidP="00A506AA">
      <w:pPr>
        <w:pStyle w:val="ListParagraph"/>
        <w:spacing w:after="0" w:line="240" w:lineRule="auto"/>
        <w:contextualSpacing w:val="0"/>
        <w:rPr>
          <w:rFonts w:ascii="Rockwell" w:hAnsi="Rockwell"/>
          <w:color w:val="1F497D"/>
        </w:rPr>
      </w:pPr>
    </w:p>
    <w:sectPr w:rsidR="004824C3" w:rsidRPr="00480784" w:rsidSect="00722523">
      <w:headerReference w:type="default" r:id="rId8"/>
      <w:footerReference w:type="default" r:id="rId9"/>
      <w:pgSz w:w="16839" w:h="11907" w:orient="landscape" w:code="9"/>
      <w:pgMar w:top="142" w:right="426" w:bottom="426" w:left="1440"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629" w:rsidRDefault="000B6629" w:rsidP="007709A4">
      <w:pPr>
        <w:spacing w:after="0" w:line="240" w:lineRule="auto"/>
      </w:pPr>
      <w:r>
        <w:separator/>
      </w:r>
    </w:p>
  </w:endnote>
  <w:endnote w:type="continuationSeparator" w:id="0">
    <w:p w:rsidR="000B6629" w:rsidRDefault="000B6629" w:rsidP="007709A4">
      <w:pPr>
        <w:spacing w:after="0" w:line="240" w:lineRule="auto"/>
      </w:pPr>
      <w:r>
        <w:continuationSeparator/>
      </w:r>
    </w:p>
  </w:endnote>
  <w:endnote w:id="1">
    <w:p w:rsidR="009E76CF" w:rsidRPr="009E76CF" w:rsidRDefault="009E76CF" w:rsidP="009E76CF">
      <w:pPr>
        <w:pStyle w:val="EndnoteText"/>
        <w:spacing w:before="120" w:after="120"/>
        <w:rPr>
          <w:rFonts w:ascii="Rockwell" w:hAnsi="Rockwell"/>
          <w:sz w:val="14"/>
          <w:szCs w:val="14"/>
        </w:rPr>
      </w:pPr>
      <w:r w:rsidRPr="009E76CF">
        <w:rPr>
          <w:rStyle w:val="EndnoteReference"/>
          <w:rFonts w:ascii="Rockwell" w:hAnsi="Rockwell"/>
          <w:sz w:val="14"/>
          <w:szCs w:val="14"/>
        </w:rPr>
        <w:endnoteRef/>
      </w:r>
      <w:r w:rsidRPr="009E76CF">
        <w:rPr>
          <w:rFonts w:ascii="Rockwell" w:hAnsi="Rockwell"/>
          <w:sz w:val="14"/>
          <w:szCs w:val="14"/>
        </w:rPr>
        <w:t xml:space="preserve"> Stalker, K., Moscardini, L., </w:t>
      </w:r>
      <w:hyperlink r:id="rId1" w:history="1">
        <w:r w:rsidRPr="009E76CF">
          <w:rPr>
            <w:rStyle w:val="Hyperlink"/>
            <w:rFonts w:ascii="Rockwell" w:hAnsi="Rockwell" w:cstheme="minorHAnsi"/>
            <w:sz w:val="14"/>
            <w:szCs w:val="14"/>
          </w:rPr>
          <w:t>A critical review and analysis of current research and policy relating to disabled children and young people in Scotland</w:t>
        </w:r>
      </w:hyperlink>
      <w:r w:rsidRPr="009E76CF">
        <w:rPr>
          <w:rFonts w:ascii="Rockwell" w:hAnsi="Rockwell"/>
          <w:sz w:val="14"/>
          <w:szCs w:val="14"/>
        </w:rPr>
        <w:t xml:space="preserve">, April 2012; Lancaster, B.,  </w:t>
      </w:r>
      <w:hyperlink r:id="rId2" w:tgtFrame="_self" w:history="1">
        <w:r w:rsidRPr="009E76CF">
          <w:rPr>
            <w:rStyle w:val="Hyperlink"/>
            <w:rFonts w:ascii="Rockwell" w:hAnsi="Rockwell" w:cstheme="minorHAnsi"/>
            <w:bCs/>
            <w:sz w:val="14"/>
            <w:szCs w:val="14"/>
          </w:rPr>
          <w:t>Social work services for disabled children and young people and their families: assessment and eligibility</w:t>
        </w:r>
      </w:hyperlink>
      <w:r w:rsidRPr="009E76CF">
        <w:rPr>
          <w:rFonts w:ascii="Rockwell" w:hAnsi="Rockwell" w:cstheme="minorHAnsi"/>
          <w:sz w:val="14"/>
          <w:szCs w:val="14"/>
        </w:rPr>
        <w:t xml:space="preserve">, Oct 2012; </w:t>
      </w:r>
      <w:r w:rsidRPr="009E76CF">
        <w:rPr>
          <w:rFonts w:ascii="Rockwell" w:hAnsi="Rockwell"/>
          <w:sz w:val="14"/>
          <w:szCs w:val="14"/>
        </w:rPr>
        <w:t xml:space="preserve">Stalker, K., </w:t>
      </w:r>
      <w:hyperlink r:id="rId3" w:tgtFrame="_self" w:history="1">
        <w:r w:rsidRPr="009E76CF">
          <w:rPr>
            <w:rStyle w:val="Hyperlink"/>
            <w:rFonts w:ascii="Rockwell" w:hAnsi="Rockwell" w:cstheme="minorHAnsi"/>
            <w:bCs/>
            <w:sz w:val="14"/>
            <w:szCs w:val="14"/>
          </w:rPr>
          <w:t>It Always Comes Down to Money: Recent changes in service provision to disabled children, young people and their families in Scotland.</w:t>
        </w:r>
      </w:hyperlink>
      <w:r w:rsidRPr="009E76CF">
        <w:rPr>
          <w:rFonts w:ascii="Rockwell" w:hAnsi="Rockwell"/>
          <w:sz w:val="14"/>
          <w:szCs w:val="14"/>
        </w:rPr>
        <w:t xml:space="preserve"> Sept 2013</w:t>
      </w:r>
    </w:p>
  </w:endnote>
  <w:endnote w:id="2">
    <w:p w:rsidR="007D559C" w:rsidRPr="00A15CCC" w:rsidRDefault="007D559C" w:rsidP="009E76CF">
      <w:pPr>
        <w:pStyle w:val="EndnoteText"/>
        <w:spacing w:before="120" w:after="120"/>
        <w:rPr>
          <w:lang w:val="en-US"/>
        </w:rPr>
      </w:pPr>
      <w:r w:rsidRPr="009E76CF">
        <w:rPr>
          <w:rStyle w:val="EndnoteReference"/>
          <w:rFonts w:ascii="Rockwell" w:hAnsi="Rockwell"/>
          <w:sz w:val="14"/>
          <w:szCs w:val="14"/>
        </w:rPr>
        <w:endnoteRef/>
      </w:r>
      <w:r w:rsidRPr="009E76CF">
        <w:rPr>
          <w:rFonts w:ascii="Rockwell" w:hAnsi="Rockwell"/>
          <w:sz w:val="14"/>
          <w:szCs w:val="14"/>
        </w:rPr>
        <w:t xml:space="preserve"> </w:t>
      </w:r>
      <w:r w:rsidRPr="009E76CF">
        <w:rPr>
          <w:rFonts w:ascii="Rockwell" w:hAnsi="Rockwell" w:cstheme="minorHAnsi"/>
          <w:sz w:val="14"/>
          <w:szCs w:val="14"/>
        </w:rPr>
        <w:t>Under this legislation, if a child is assessed as needing certain named services, including aids and equipment, practical help in the home, help with travel or recreational facilities, and is eligible for them, the LA must provide them.</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36544"/>
      <w:docPartObj>
        <w:docPartGallery w:val="Page Numbers (Bottom of Page)"/>
        <w:docPartUnique/>
      </w:docPartObj>
    </w:sdtPr>
    <w:sdtContent>
      <w:p w:rsidR="007D559C" w:rsidRDefault="00F45EDC">
        <w:pPr>
          <w:pStyle w:val="Footer"/>
          <w:jc w:val="right"/>
        </w:pPr>
        <w:r>
          <w:fldChar w:fldCharType="begin"/>
        </w:r>
        <w:r w:rsidR="007D559C">
          <w:instrText xml:space="preserve"> PAGE   \* MERGEFORMAT </w:instrText>
        </w:r>
        <w:r>
          <w:fldChar w:fldCharType="separate"/>
        </w:r>
        <w:r w:rsidR="00C01C6C">
          <w:rPr>
            <w:noProof/>
          </w:rPr>
          <w:t>1</w:t>
        </w:r>
        <w:r>
          <w:rPr>
            <w:noProof/>
          </w:rPr>
          <w:fldChar w:fldCharType="end"/>
        </w:r>
      </w:p>
    </w:sdtContent>
  </w:sdt>
  <w:p w:rsidR="007D559C" w:rsidRDefault="007D55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629" w:rsidRDefault="000B6629" w:rsidP="007709A4">
      <w:pPr>
        <w:spacing w:after="0" w:line="240" w:lineRule="auto"/>
      </w:pPr>
      <w:r>
        <w:separator/>
      </w:r>
    </w:p>
  </w:footnote>
  <w:footnote w:type="continuationSeparator" w:id="0">
    <w:p w:rsidR="000B6629" w:rsidRDefault="000B6629" w:rsidP="007709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59C" w:rsidRDefault="007D559C" w:rsidP="00722523">
    <w:pPr>
      <w:pStyle w:val="Header"/>
      <w:jc w:val="right"/>
    </w:pPr>
    <w:r w:rsidRPr="00722523">
      <w:rPr>
        <w:noProof/>
        <w:lang w:eastAsia="en-GB"/>
      </w:rPr>
      <w:drawing>
        <wp:inline distT="0" distB="0" distL="0" distR="0">
          <wp:extent cx="1208599" cy="581261"/>
          <wp:effectExtent l="19050" t="0" r="0" b="0"/>
          <wp:docPr id="2" name="Picture 3" descr="SCCY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CYP logo"/>
                  <pic:cNvPicPr>
                    <a:picLocks noChangeAspect="1" noChangeArrowheads="1"/>
                  </pic:cNvPicPr>
                </pic:nvPicPr>
                <pic:blipFill>
                  <a:blip r:embed="rId1"/>
                  <a:srcRect r="3013" b="17576"/>
                  <a:stretch>
                    <a:fillRect/>
                  </a:stretch>
                </pic:blipFill>
                <pic:spPr bwMode="auto">
                  <a:xfrm>
                    <a:off x="0" y="0"/>
                    <a:ext cx="1210913" cy="58237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902C6D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6F669E"/>
    <w:multiLevelType w:val="hybridMultilevel"/>
    <w:tmpl w:val="FDBCAC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A451B9"/>
    <w:multiLevelType w:val="hybridMultilevel"/>
    <w:tmpl w:val="DFA0B5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516EB9"/>
    <w:multiLevelType w:val="hybridMultilevel"/>
    <w:tmpl w:val="DF6002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3A3B6B"/>
    <w:multiLevelType w:val="hybridMultilevel"/>
    <w:tmpl w:val="73BA23EC"/>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BE574D"/>
    <w:multiLevelType w:val="hybridMultilevel"/>
    <w:tmpl w:val="B37E69D8"/>
    <w:lvl w:ilvl="0" w:tplc="37647792">
      <w:start w:val="1"/>
      <w:numFmt w:val="bullet"/>
      <w:lvlText w:val="-"/>
      <w:lvlJc w:val="left"/>
      <w:pPr>
        <w:ind w:left="720" w:hanging="360"/>
      </w:pPr>
      <w:rPr>
        <w:rFonts w:ascii="Calibri" w:eastAsia="Calibri" w:hAnsi="Calibri" w:cs="Calibri"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nsid w:val="19D8351A"/>
    <w:multiLevelType w:val="hybridMultilevel"/>
    <w:tmpl w:val="EB84EB6A"/>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2123ADC"/>
    <w:multiLevelType w:val="hybridMultilevel"/>
    <w:tmpl w:val="B84012EA"/>
    <w:lvl w:ilvl="0" w:tplc="54743C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8A7B20"/>
    <w:multiLevelType w:val="hybridMultilevel"/>
    <w:tmpl w:val="B78E71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B9237A0"/>
    <w:multiLevelType w:val="hybridMultilevel"/>
    <w:tmpl w:val="575E2C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4B51D9"/>
    <w:multiLevelType w:val="hybridMultilevel"/>
    <w:tmpl w:val="4CB66E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A91027"/>
    <w:multiLevelType w:val="hybridMultilevel"/>
    <w:tmpl w:val="B90209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963563"/>
    <w:multiLevelType w:val="hybridMultilevel"/>
    <w:tmpl w:val="9DAEA7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625BC8"/>
    <w:multiLevelType w:val="hybridMultilevel"/>
    <w:tmpl w:val="9EE06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2F0398D"/>
    <w:multiLevelType w:val="hybridMultilevel"/>
    <w:tmpl w:val="494095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3A2689D"/>
    <w:multiLevelType w:val="hybridMultilevel"/>
    <w:tmpl w:val="44F269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D26B4B"/>
    <w:multiLevelType w:val="hybridMultilevel"/>
    <w:tmpl w:val="DA2C56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8F515B0"/>
    <w:multiLevelType w:val="hybridMultilevel"/>
    <w:tmpl w:val="8FC60A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A897036"/>
    <w:multiLevelType w:val="hybridMultilevel"/>
    <w:tmpl w:val="290E6D4C"/>
    <w:lvl w:ilvl="0" w:tplc="08090005">
      <w:start w:val="1"/>
      <w:numFmt w:val="bullet"/>
      <w:lvlText w:val=""/>
      <w:lvlJc w:val="left"/>
      <w:pPr>
        <w:ind w:left="720" w:hanging="360"/>
      </w:pPr>
      <w:rPr>
        <w:rFonts w:ascii="Wingdings" w:hAnsi="Wingdings" w:hint="default"/>
      </w:rPr>
    </w:lvl>
    <w:lvl w:ilvl="1" w:tplc="591CF4C0">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62E34A4"/>
    <w:multiLevelType w:val="hybridMultilevel"/>
    <w:tmpl w:val="5E80E7F6"/>
    <w:lvl w:ilvl="0" w:tplc="AC20DF2C">
      <w:start w:val="17"/>
      <w:numFmt w:val="bullet"/>
      <w:lvlText w:val="-"/>
      <w:lvlJc w:val="left"/>
      <w:pPr>
        <w:ind w:left="720" w:hanging="360"/>
      </w:pPr>
      <w:rPr>
        <w:rFonts w:ascii="Cambria" w:eastAsia="Times New Roman" w:hAnsi="Cambri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A0212E9"/>
    <w:multiLevelType w:val="hybridMultilevel"/>
    <w:tmpl w:val="65BE9D7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65974FD"/>
    <w:multiLevelType w:val="hybridMultilevel"/>
    <w:tmpl w:val="B19431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BB36531"/>
    <w:multiLevelType w:val="hybridMultilevel"/>
    <w:tmpl w:val="CCB27D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7"/>
  </w:num>
  <w:num w:numId="4">
    <w:abstractNumId w:val="9"/>
  </w:num>
  <w:num w:numId="5">
    <w:abstractNumId w:val="0"/>
  </w:num>
  <w:num w:numId="6">
    <w:abstractNumId w:val="10"/>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0"/>
  </w:num>
  <w:num w:numId="11">
    <w:abstractNumId w:val="4"/>
  </w:num>
  <w:num w:numId="12">
    <w:abstractNumId w:val="16"/>
  </w:num>
  <w:num w:numId="13">
    <w:abstractNumId w:val="13"/>
  </w:num>
  <w:num w:numId="14">
    <w:abstractNumId w:val="21"/>
  </w:num>
  <w:num w:numId="15">
    <w:abstractNumId w:val="12"/>
  </w:num>
  <w:num w:numId="16">
    <w:abstractNumId w:val="1"/>
  </w:num>
  <w:num w:numId="17">
    <w:abstractNumId w:val="14"/>
  </w:num>
  <w:num w:numId="18">
    <w:abstractNumId w:val="2"/>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5"/>
  </w:num>
  <w:num w:numId="22">
    <w:abstractNumId w:val="7"/>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631D0"/>
    <w:rsid w:val="00021BB8"/>
    <w:rsid w:val="0002440E"/>
    <w:rsid w:val="00035432"/>
    <w:rsid w:val="00036230"/>
    <w:rsid w:val="00053468"/>
    <w:rsid w:val="00066CC6"/>
    <w:rsid w:val="00083316"/>
    <w:rsid w:val="000B6629"/>
    <w:rsid w:val="000F1080"/>
    <w:rsid w:val="000F2795"/>
    <w:rsid w:val="001304B6"/>
    <w:rsid w:val="00142A46"/>
    <w:rsid w:val="00143943"/>
    <w:rsid w:val="00150707"/>
    <w:rsid w:val="001A1E1C"/>
    <w:rsid w:val="001B6D44"/>
    <w:rsid w:val="001E790A"/>
    <w:rsid w:val="001F091C"/>
    <w:rsid w:val="001F3A7C"/>
    <w:rsid w:val="001F6555"/>
    <w:rsid w:val="0020654F"/>
    <w:rsid w:val="002073E7"/>
    <w:rsid w:val="00214D98"/>
    <w:rsid w:val="00232C50"/>
    <w:rsid w:val="002410EB"/>
    <w:rsid w:val="00257B17"/>
    <w:rsid w:val="002631D0"/>
    <w:rsid w:val="00267F2C"/>
    <w:rsid w:val="00281159"/>
    <w:rsid w:val="00334DE6"/>
    <w:rsid w:val="00341AD0"/>
    <w:rsid w:val="003577C8"/>
    <w:rsid w:val="00363045"/>
    <w:rsid w:val="003B41B0"/>
    <w:rsid w:val="003C2A80"/>
    <w:rsid w:val="003D3ACA"/>
    <w:rsid w:val="00411811"/>
    <w:rsid w:val="0043751B"/>
    <w:rsid w:val="0043755C"/>
    <w:rsid w:val="00464481"/>
    <w:rsid w:val="00480784"/>
    <w:rsid w:val="004824C3"/>
    <w:rsid w:val="00493681"/>
    <w:rsid w:val="004E782B"/>
    <w:rsid w:val="00520609"/>
    <w:rsid w:val="00546E60"/>
    <w:rsid w:val="00572BFE"/>
    <w:rsid w:val="005902C3"/>
    <w:rsid w:val="005B6ABB"/>
    <w:rsid w:val="005D4826"/>
    <w:rsid w:val="005F402D"/>
    <w:rsid w:val="005F57FC"/>
    <w:rsid w:val="00604FF0"/>
    <w:rsid w:val="00633D90"/>
    <w:rsid w:val="006721F9"/>
    <w:rsid w:val="006977DE"/>
    <w:rsid w:val="006B4143"/>
    <w:rsid w:val="006C2E9A"/>
    <w:rsid w:val="006C708C"/>
    <w:rsid w:val="006F1317"/>
    <w:rsid w:val="0071272B"/>
    <w:rsid w:val="00722523"/>
    <w:rsid w:val="00732D1A"/>
    <w:rsid w:val="00741F02"/>
    <w:rsid w:val="00751399"/>
    <w:rsid w:val="00764731"/>
    <w:rsid w:val="00765A42"/>
    <w:rsid w:val="007709A4"/>
    <w:rsid w:val="007C20F3"/>
    <w:rsid w:val="007C399D"/>
    <w:rsid w:val="007D559C"/>
    <w:rsid w:val="00811310"/>
    <w:rsid w:val="00850BF1"/>
    <w:rsid w:val="0085114C"/>
    <w:rsid w:val="0086478B"/>
    <w:rsid w:val="00881DCE"/>
    <w:rsid w:val="008860F1"/>
    <w:rsid w:val="008A0044"/>
    <w:rsid w:val="008B0A28"/>
    <w:rsid w:val="008E6AEC"/>
    <w:rsid w:val="008F65A4"/>
    <w:rsid w:val="0092154F"/>
    <w:rsid w:val="0093773F"/>
    <w:rsid w:val="00965D8E"/>
    <w:rsid w:val="00980263"/>
    <w:rsid w:val="009838A2"/>
    <w:rsid w:val="009A4C33"/>
    <w:rsid w:val="009C2DF9"/>
    <w:rsid w:val="009D4FAD"/>
    <w:rsid w:val="009D747D"/>
    <w:rsid w:val="009E33F3"/>
    <w:rsid w:val="009E76CF"/>
    <w:rsid w:val="00A1251F"/>
    <w:rsid w:val="00A15CCC"/>
    <w:rsid w:val="00A24FC1"/>
    <w:rsid w:val="00A2545B"/>
    <w:rsid w:val="00A32E6E"/>
    <w:rsid w:val="00A506AA"/>
    <w:rsid w:val="00A62D5F"/>
    <w:rsid w:val="00AA718C"/>
    <w:rsid w:val="00AD3B57"/>
    <w:rsid w:val="00AE0A46"/>
    <w:rsid w:val="00AE78A3"/>
    <w:rsid w:val="00B00EFF"/>
    <w:rsid w:val="00B45ED9"/>
    <w:rsid w:val="00B56E8C"/>
    <w:rsid w:val="00B766BB"/>
    <w:rsid w:val="00B972CC"/>
    <w:rsid w:val="00BB30B6"/>
    <w:rsid w:val="00C01C6C"/>
    <w:rsid w:val="00CA2BFF"/>
    <w:rsid w:val="00CD08CA"/>
    <w:rsid w:val="00CD16CF"/>
    <w:rsid w:val="00CD7366"/>
    <w:rsid w:val="00CE5091"/>
    <w:rsid w:val="00D1081C"/>
    <w:rsid w:val="00D15E72"/>
    <w:rsid w:val="00D62BD0"/>
    <w:rsid w:val="00D6525F"/>
    <w:rsid w:val="00D9092C"/>
    <w:rsid w:val="00DC45C1"/>
    <w:rsid w:val="00DD54E6"/>
    <w:rsid w:val="00E0124B"/>
    <w:rsid w:val="00E040E6"/>
    <w:rsid w:val="00E56E35"/>
    <w:rsid w:val="00E57F7D"/>
    <w:rsid w:val="00E6126E"/>
    <w:rsid w:val="00E65A56"/>
    <w:rsid w:val="00E70E60"/>
    <w:rsid w:val="00E81451"/>
    <w:rsid w:val="00EB6D47"/>
    <w:rsid w:val="00ED44B6"/>
    <w:rsid w:val="00EE5427"/>
    <w:rsid w:val="00EF7D80"/>
    <w:rsid w:val="00F22D01"/>
    <w:rsid w:val="00F45EDC"/>
    <w:rsid w:val="00F76C8F"/>
    <w:rsid w:val="00F87276"/>
    <w:rsid w:val="00FB2B9C"/>
    <w:rsid w:val="00FD788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1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31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31D0"/>
    <w:pPr>
      <w:ind w:left="720"/>
      <w:contextualSpacing/>
    </w:pPr>
  </w:style>
  <w:style w:type="paragraph" w:styleId="Header">
    <w:name w:val="header"/>
    <w:basedOn w:val="Normal"/>
    <w:link w:val="HeaderChar"/>
    <w:uiPriority w:val="99"/>
    <w:unhideWhenUsed/>
    <w:rsid w:val="007709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9A4"/>
  </w:style>
  <w:style w:type="paragraph" w:styleId="Footer">
    <w:name w:val="footer"/>
    <w:basedOn w:val="Normal"/>
    <w:link w:val="FooterChar"/>
    <w:uiPriority w:val="99"/>
    <w:unhideWhenUsed/>
    <w:rsid w:val="007709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9A4"/>
  </w:style>
  <w:style w:type="paragraph" w:styleId="FootnoteText">
    <w:name w:val="footnote text"/>
    <w:basedOn w:val="Normal"/>
    <w:link w:val="FootnoteTextChar"/>
    <w:uiPriority w:val="99"/>
    <w:unhideWhenUsed/>
    <w:rsid w:val="005F57FC"/>
    <w:pPr>
      <w:spacing w:after="0" w:line="240" w:lineRule="auto"/>
    </w:pPr>
    <w:rPr>
      <w:sz w:val="20"/>
      <w:szCs w:val="20"/>
    </w:rPr>
  </w:style>
  <w:style w:type="character" w:customStyle="1" w:styleId="FootnoteTextChar">
    <w:name w:val="Footnote Text Char"/>
    <w:basedOn w:val="DefaultParagraphFont"/>
    <w:link w:val="FootnoteText"/>
    <w:uiPriority w:val="99"/>
    <w:rsid w:val="005F57FC"/>
    <w:rPr>
      <w:sz w:val="20"/>
      <w:szCs w:val="20"/>
    </w:rPr>
  </w:style>
  <w:style w:type="character" w:styleId="FootnoteReference">
    <w:name w:val="footnote reference"/>
    <w:basedOn w:val="DefaultParagraphFont"/>
    <w:uiPriority w:val="99"/>
    <w:semiHidden/>
    <w:unhideWhenUsed/>
    <w:rsid w:val="005F57FC"/>
    <w:rPr>
      <w:vertAlign w:val="superscript"/>
    </w:rPr>
  </w:style>
  <w:style w:type="character" w:styleId="Hyperlink">
    <w:name w:val="Hyperlink"/>
    <w:basedOn w:val="DefaultParagraphFont"/>
    <w:uiPriority w:val="99"/>
    <w:unhideWhenUsed/>
    <w:rsid w:val="00A2545B"/>
    <w:rPr>
      <w:color w:val="0000FF" w:themeColor="hyperlink"/>
      <w:u w:val="single"/>
    </w:rPr>
  </w:style>
  <w:style w:type="paragraph" w:styleId="ListBullet">
    <w:name w:val="List Bullet"/>
    <w:basedOn w:val="Normal"/>
    <w:uiPriority w:val="99"/>
    <w:unhideWhenUsed/>
    <w:rsid w:val="00604FF0"/>
    <w:pPr>
      <w:numPr>
        <w:numId w:val="5"/>
      </w:numPr>
      <w:contextualSpacing/>
    </w:pPr>
  </w:style>
  <w:style w:type="paragraph" w:styleId="BalloonText">
    <w:name w:val="Balloon Text"/>
    <w:basedOn w:val="Normal"/>
    <w:link w:val="BalloonTextChar"/>
    <w:uiPriority w:val="99"/>
    <w:semiHidden/>
    <w:unhideWhenUsed/>
    <w:rsid w:val="00722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523"/>
    <w:rPr>
      <w:rFonts w:ascii="Tahoma" w:hAnsi="Tahoma" w:cs="Tahoma"/>
      <w:sz w:val="16"/>
      <w:szCs w:val="16"/>
    </w:rPr>
  </w:style>
  <w:style w:type="paragraph" w:styleId="EndnoteText">
    <w:name w:val="endnote text"/>
    <w:basedOn w:val="Normal"/>
    <w:link w:val="EndnoteTextChar"/>
    <w:uiPriority w:val="99"/>
    <w:unhideWhenUsed/>
    <w:rsid w:val="00A15CCC"/>
    <w:pPr>
      <w:spacing w:after="0" w:line="240" w:lineRule="auto"/>
    </w:pPr>
    <w:rPr>
      <w:sz w:val="24"/>
      <w:szCs w:val="24"/>
    </w:rPr>
  </w:style>
  <w:style w:type="character" w:customStyle="1" w:styleId="EndnoteTextChar">
    <w:name w:val="Endnote Text Char"/>
    <w:basedOn w:val="DefaultParagraphFont"/>
    <w:link w:val="EndnoteText"/>
    <w:uiPriority w:val="99"/>
    <w:rsid w:val="00A15CCC"/>
    <w:rPr>
      <w:sz w:val="24"/>
      <w:szCs w:val="24"/>
    </w:rPr>
  </w:style>
  <w:style w:type="character" w:styleId="EndnoteReference">
    <w:name w:val="endnote reference"/>
    <w:basedOn w:val="DefaultParagraphFont"/>
    <w:uiPriority w:val="99"/>
    <w:unhideWhenUsed/>
    <w:rsid w:val="00A15CCC"/>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1D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31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31D0"/>
    <w:pPr>
      <w:ind w:left="720"/>
      <w:contextualSpacing/>
    </w:pPr>
  </w:style>
  <w:style w:type="paragraph" w:styleId="Header">
    <w:name w:val="header"/>
    <w:basedOn w:val="Normal"/>
    <w:link w:val="HeaderChar"/>
    <w:uiPriority w:val="99"/>
    <w:unhideWhenUsed/>
    <w:rsid w:val="007709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9A4"/>
  </w:style>
  <w:style w:type="paragraph" w:styleId="Footer">
    <w:name w:val="footer"/>
    <w:basedOn w:val="Normal"/>
    <w:link w:val="FooterChar"/>
    <w:uiPriority w:val="99"/>
    <w:unhideWhenUsed/>
    <w:rsid w:val="007709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9A4"/>
  </w:style>
  <w:style w:type="paragraph" w:styleId="FootnoteText">
    <w:name w:val="footnote text"/>
    <w:basedOn w:val="Normal"/>
    <w:link w:val="FootnoteTextChar"/>
    <w:uiPriority w:val="99"/>
    <w:unhideWhenUsed/>
    <w:rsid w:val="005F57FC"/>
    <w:pPr>
      <w:spacing w:after="0" w:line="240" w:lineRule="auto"/>
    </w:pPr>
    <w:rPr>
      <w:sz w:val="20"/>
      <w:szCs w:val="20"/>
    </w:rPr>
  </w:style>
  <w:style w:type="character" w:customStyle="1" w:styleId="FootnoteTextChar">
    <w:name w:val="Footnote Text Char"/>
    <w:basedOn w:val="DefaultParagraphFont"/>
    <w:link w:val="FootnoteText"/>
    <w:uiPriority w:val="99"/>
    <w:rsid w:val="005F57FC"/>
    <w:rPr>
      <w:sz w:val="20"/>
      <w:szCs w:val="20"/>
    </w:rPr>
  </w:style>
  <w:style w:type="character" w:styleId="FootnoteReference">
    <w:name w:val="footnote reference"/>
    <w:basedOn w:val="DefaultParagraphFont"/>
    <w:uiPriority w:val="99"/>
    <w:semiHidden/>
    <w:unhideWhenUsed/>
    <w:rsid w:val="005F57FC"/>
    <w:rPr>
      <w:vertAlign w:val="superscript"/>
    </w:rPr>
  </w:style>
  <w:style w:type="character" w:styleId="Hyperlink">
    <w:name w:val="Hyperlink"/>
    <w:basedOn w:val="DefaultParagraphFont"/>
    <w:uiPriority w:val="99"/>
    <w:unhideWhenUsed/>
    <w:rsid w:val="00A2545B"/>
    <w:rPr>
      <w:color w:val="0000FF" w:themeColor="hyperlink"/>
      <w:u w:val="single"/>
    </w:rPr>
  </w:style>
  <w:style w:type="paragraph" w:styleId="ListBullet">
    <w:name w:val="List Bullet"/>
    <w:basedOn w:val="Normal"/>
    <w:uiPriority w:val="99"/>
    <w:unhideWhenUsed/>
    <w:rsid w:val="00604FF0"/>
    <w:pPr>
      <w:numPr>
        <w:numId w:val="5"/>
      </w:numPr>
      <w:contextualSpacing/>
    </w:pPr>
  </w:style>
  <w:style w:type="paragraph" w:styleId="BalloonText">
    <w:name w:val="Balloon Text"/>
    <w:basedOn w:val="Normal"/>
    <w:link w:val="BalloonTextChar"/>
    <w:uiPriority w:val="99"/>
    <w:semiHidden/>
    <w:unhideWhenUsed/>
    <w:rsid w:val="00722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523"/>
    <w:rPr>
      <w:rFonts w:ascii="Tahoma" w:hAnsi="Tahoma" w:cs="Tahoma"/>
      <w:sz w:val="16"/>
      <w:szCs w:val="16"/>
    </w:rPr>
  </w:style>
  <w:style w:type="paragraph" w:styleId="EndnoteText">
    <w:name w:val="endnote text"/>
    <w:basedOn w:val="Normal"/>
    <w:link w:val="EndnoteTextChar"/>
    <w:uiPriority w:val="99"/>
    <w:unhideWhenUsed/>
    <w:rsid w:val="00A15CCC"/>
    <w:pPr>
      <w:spacing w:after="0" w:line="240" w:lineRule="auto"/>
    </w:pPr>
    <w:rPr>
      <w:sz w:val="24"/>
      <w:szCs w:val="24"/>
    </w:rPr>
  </w:style>
  <w:style w:type="character" w:customStyle="1" w:styleId="EndnoteTextChar">
    <w:name w:val="Endnote Text Char"/>
    <w:basedOn w:val="DefaultParagraphFont"/>
    <w:link w:val="EndnoteText"/>
    <w:uiPriority w:val="99"/>
    <w:rsid w:val="00A15CCC"/>
    <w:rPr>
      <w:sz w:val="24"/>
      <w:szCs w:val="24"/>
    </w:rPr>
  </w:style>
  <w:style w:type="character" w:styleId="EndnoteReference">
    <w:name w:val="endnote reference"/>
    <w:basedOn w:val="DefaultParagraphFont"/>
    <w:uiPriority w:val="99"/>
    <w:unhideWhenUsed/>
    <w:rsid w:val="00A15CCC"/>
    <w:rPr>
      <w:vertAlign w:val="superscript"/>
    </w:rPr>
  </w:style>
</w:styles>
</file>

<file path=word/webSettings.xml><?xml version="1.0" encoding="utf-8"?>
<w:webSettings xmlns:r="http://schemas.openxmlformats.org/officeDocument/2006/relationships" xmlns:w="http://schemas.openxmlformats.org/wordprocessingml/2006/main">
  <w:divs>
    <w:div w:id="363754851">
      <w:bodyDiv w:val="1"/>
      <w:marLeft w:val="0"/>
      <w:marRight w:val="0"/>
      <w:marTop w:val="0"/>
      <w:marBottom w:val="0"/>
      <w:divBdr>
        <w:top w:val="none" w:sz="0" w:space="0" w:color="auto"/>
        <w:left w:val="none" w:sz="0" w:space="0" w:color="auto"/>
        <w:bottom w:val="none" w:sz="0" w:space="0" w:color="auto"/>
        <w:right w:val="none" w:sz="0" w:space="0" w:color="auto"/>
      </w:divBdr>
    </w:div>
    <w:div w:id="94184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www.sccyp.org.uk/ufiles/It-always-comes-down-to-money.pdf" TargetMode="External"/><Relationship Id="rId2" Type="http://schemas.openxmlformats.org/officeDocument/2006/relationships/hyperlink" Target="http://www.sccyp.org.uk/downloads/Adult%20Reports/sh_Elig_Crit_FINAL_SCCYP_REPORT_29_oct.pdf" TargetMode="External"/><Relationship Id="rId1" Type="http://schemas.openxmlformats.org/officeDocument/2006/relationships/hyperlink" Target="http://www.sccyp.org.uk/downloads/Critical_review_and_analysis_of_research_research_and_policy_relating_to_disabled_children1.pdf.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8252EE-1F3D-4C62-B859-5C5B556DA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2148</Words>
  <Characters>12246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SCCYP</Company>
  <LinksUpToDate>false</LinksUpToDate>
  <CharactersWithSpaces>14366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chloeswift</dc:creator>
  <cp:lastModifiedBy>Emma</cp:lastModifiedBy>
  <cp:revision>2</cp:revision>
  <cp:lastPrinted>2013-12-06T10:28:00Z</cp:lastPrinted>
  <dcterms:created xsi:type="dcterms:W3CDTF">2014-02-04T10:57:00Z</dcterms:created>
  <dcterms:modified xsi:type="dcterms:W3CDTF">2014-02-04T10:57:00Z</dcterms:modified>
</cp:coreProperties>
</file>